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EEEA6" w14:textId="65645CFE" w:rsidR="001E573B" w:rsidRDefault="00DC4BF9" w:rsidP="001E573B">
      <w:pPr>
        <w:spacing w:line="240" w:lineRule="auto"/>
        <w:rPr>
          <w:sz w:val="36"/>
          <w:szCs w:val="36"/>
        </w:rPr>
      </w:pPr>
      <w:r>
        <w:rPr>
          <w:noProof/>
          <w:sz w:val="36"/>
          <w:szCs w:val="36"/>
          <w:lang w:eastAsia="en-GB"/>
        </w:rPr>
        <w:drawing>
          <wp:anchor distT="0" distB="0" distL="114300" distR="114300" simplePos="0" relativeHeight="251660288" behindDoc="1" locked="0" layoutInCell="1" allowOverlap="1" wp14:anchorId="5944B0CD" wp14:editId="63CD9F27">
            <wp:simplePos x="0" y="0"/>
            <wp:positionH relativeFrom="column">
              <wp:posOffset>4434840</wp:posOffset>
            </wp:positionH>
            <wp:positionV relativeFrom="paragraph">
              <wp:posOffset>24130</wp:posOffset>
            </wp:positionV>
            <wp:extent cx="1512570" cy="792480"/>
            <wp:effectExtent l="0" t="0" r="0" b="7620"/>
            <wp:wrapTight wrapText="bothSides">
              <wp:wrapPolygon edited="0">
                <wp:start x="0" y="0"/>
                <wp:lineTo x="0" y="21288"/>
                <wp:lineTo x="21219" y="21288"/>
                <wp:lineTo x="2121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lc-teal-logo-website.jpg"/>
                    <pic:cNvPicPr/>
                  </pic:nvPicPr>
                  <pic:blipFill rotWithShape="1">
                    <a:blip r:embed="rId9" cstate="print">
                      <a:extLst>
                        <a:ext uri="{28A0092B-C50C-407E-A947-70E740481C1C}">
                          <a14:useLocalDpi xmlns:a14="http://schemas.microsoft.com/office/drawing/2010/main" val="0"/>
                        </a:ext>
                      </a:extLst>
                    </a:blip>
                    <a:srcRect t="9131"/>
                    <a:stretch/>
                  </pic:blipFill>
                  <pic:spPr bwMode="auto">
                    <a:xfrm>
                      <a:off x="0" y="0"/>
                      <a:ext cx="1512570" cy="79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B3C" w:rsidRPr="004B3216">
        <w:rPr>
          <w:noProof/>
          <w:sz w:val="36"/>
          <w:szCs w:val="36"/>
          <w:lang w:eastAsia="en-GB"/>
        </w:rPr>
        <w:drawing>
          <wp:inline distT="0" distB="0" distL="0" distR="0" wp14:anchorId="7929C45F" wp14:editId="56505B5B">
            <wp:extent cx="1228299" cy="1050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 Futures Logo.png"/>
                    <pic:cNvPicPr/>
                  </pic:nvPicPr>
                  <pic:blipFill rotWithShape="1">
                    <a:blip r:embed="rId10" cstate="print">
                      <a:extLst>
                        <a:ext uri="{28A0092B-C50C-407E-A947-70E740481C1C}">
                          <a14:useLocalDpi xmlns:a14="http://schemas.microsoft.com/office/drawing/2010/main" val="0"/>
                        </a:ext>
                      </a:extLst>
                    </a:blip>
                    <a:srcRect l="6732" t="6387" r="1" b="11290"/>
                    <a:stretch/>
                  </pic:blipFill>
                  <pic:spPr bwMode="auto">
                    <a:xfrm>
                      <a:off x="0" y="0"/>
                      <a:ext cx="1255711" cy="1074330"/>
                    </a:xfrm>
                    <a:prstGeom prst="rect">
                      <a:avLst/>
                    </a:prstGeom>
                    <a:ln>
                      <a:noFill/>
                    </a:ln>
                    <a:extLst>
                      <a:ext uri="{53640926-AAD7-44D8-BBD7-CCE9431645EC}">
                        <a14:shadowObscured xmlns:a14="http://schemas.microsoft.com/office/drawing/2010/main"/>
                      </a:ext>
                    </a:extLst>
                  </pic:spPr>
                </pic:pic>
              </a:graphicData>
            </a:graphic>
          </wp:inline>
        </w:drawing>
      </w:r>
      <w:r w:rsidR="00E5712E">
        <w:rPr>
          <w:noProof/>
          <w:lang w:eastAsia="en-GB"/>
        </w:rPr>
        <mc:AlternateContent>
          <mc:Choice Requires="wps">
            <w:drawing>
              <wp:anchor distT="0" distB="0" distL="114300" distR="114300" simplePos="0" relativeHeight="251662336" behindDoc="0" locked="0" layoutInCell="1" allowOverlap="1" wp14:anchorId="31FE500C" wp14:editId="1D5BA5BF">
                <wp:simplePos x="0" y="0"/>
                <wp:positionH relativeFrom="column">
                  <wp:posOffset>-675564</wp:posOffset>
                </wp:positionH>
                <wp:positionV relativeFrom="paragraph">
                  <wp:posOffset>-378071</wp:posOffset>
                </wp:positionV>
                <wp:extent cx="7055892" cy="10187769"/>
                <wp:effectExtent l="19050" t="19050" r="12065" b="23495"/>
                <wp:wrapNone/>
                <wp:docPr id="8" name="Rectangle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9D6CD6EA-13C3-4336-AC1C-EACF15643509}"/>
                    </a:ext>
                  </a:extLst>
                </wp:docPr>
                <wp:cNvGraphicFramePr/>
                <a:graphic xmlns:a="http://schemas.openxmlformats.org/drawingml/2006/main">
                  <a:graphicData uri="http://schemas.microsoft.com/office/word/2010/wordprocessingShape">
                    <wps:wsp>
                      <wps:cNvSpPr/>
                      <wps:spPr>
                        <a:xfrm>
                          <a:off x="0" y="0"/>
                          <a:ext cx="7055892" cy="10187769"/>
                        </a:xfrm>
                        <a:prstGeom prst="rect">
                          <a:avLst/>
                        </a:prstGeom>
                        <a:noFill/>
                        <a:ln w="31750" cap="flat" cmpd="sng" algn="ctr">
                          <a:solidFill>
                            <a:srgbClr val="F15A29"/>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3.2pt;margin-top:-29.75pt;width:555.6pt;height:80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" filled="f" strokecolor="#f15a29" strokeweight="2.5pt"/>
            </w:pict>
          </mc:Fallback>
        </mc:AlternateContent>
      </w:r>
    </w:p>
    <w:p w14:paraId="4556ACB6" w14:textId="22F6BDCE" w:rsidR="00C04D06" w:rsidRPr="00E5712E" w:rsidRDefault="004B3216" w:rsidP="00A177F3">
      <w:pPr>
        <w:spacing w:line="240" w:lineRule="auto"/>
        <w:jc w:val="center"/>
        <w:rPr>
          <w:b/>
          <w:sz w:val="36"/>
          <w:szCs w:val="36"/>
        </w:rPr>
      </w:pPr>
      <w:r w:rsidRPr="00E5712E">
        <w:rPr>
          <w:b/>
          <w:sz w:val="36"/>
          <w:szCs w:val="36"/>
        </w:rPr>
        <w:t>A Guide to t</w:t>
      </w:r>
      <w:r w:rsidR="000652F5" w:rsidRPr="00E5712E">
        <w:rPr>
          <w:b/>
          <w:sz w:val="36"/>
          <w:szCs w:val="36"/>
        </w:rPr>
        <w:t xml:space="preserve">he </w:t>
      </w:r>
      <w:r w:rsidR="00564309" w:rsidRPr="00E5712E">
        <w:rPr>
          <w:b/>
          <w:sz w:val="36"/>
          <w:szCs w:val="36"/>
        </w:rPr>
        <w:t>Community Infrastructure Levy (CIL</w:t>
      </w:r>
      <w:proofErr w:type="gramStart"/>
      <w:r w:rsidR="00564309" w:rsidRPr="00E5712E">
        <w:rPr>
          <w:b/>
          <w:sz w:val="36"/>
          <w:szCs w:val="36"/>
        </w:rPr>
        <w:t>)</w:t>
      </w:r>
      <w:proofErr w:type="gramEnd"/>
      <w:r w:rsidR="00A177F3" w:rsidRPr="00E5712E">
        <w:rPr>
          <w:b/>
          <w:sz w:val="36"/>
          <w:szCs w:val="36"/>
        </w:rPr>
        <w:br/>
      </w:r>
      <w:r w:rsidR="00564309" w:rsidRPr="00E5712E">
        <w:rPr>
          <w:b/>
          <w:sz w:val="36"/>
          <w:szCs w:val="36"/>
        </w:rPr>
        <w:t>for Parish and Town Councils</w:t>
      </w:r>
    </w:p>
    <w:p w14:paraId="4059DED4" w14:textId="1B912FCC" w:rsidR="004B3216" w:rsidRDefault="00CE1862">
      <w:pPr>
        <w:rPr>
          <w:sz w:val="22"/>
          <w:szCs w:val="22"/>
        </w:rPr>
      </w:pPr>
      <w:r>
        <w:rPr>
          <w:noProof/>
          <w:sz w:val="22"/>
          <w:szCs w:val="22"/>
          <w:lang w:eastAsia="en-GB"/>
        </w:rPr>
        <mc:AlternateContent>
          <mc:Choice Requires="wps">
            <w:drawing>
              <wp:anchor distT="0" distB="0" distL="114300" distR="114300" simplePos="0" relativeHeight="251659264" behindDoc="0" locked="0" layoutInCell="1" allowOverlap="1" wp14:anchorId="4CF1ED6F" wp14:editId="184D298D">
                <wp:simplePos x="0" y="0"/>
                <wp:positionH relativeFrom="column">
                  <wp:posOffset>0</wp:posOffset>
                </wp:positionH>
                <wp:positionV relativeFrom="paragraph">
                  <wp:posOffset>65029</wp:posOffset>
                </wp:positionV>
                <wp:extent cx="5715000" cy="7905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5715000" cy="790575"/>
                        </a:xfrm>
                        <a:prstGeom prst="rect">
                          <a:avLst/>
                        </a:prstGeom>
                        <a:solidFill>
                          <a:schemeClr val="lt1"/>
                        </a:solidFill>
                        <a:ln w="6350">
                          <a:solidFill>
                            <a:prstClr val="black"/>
                          </a:solidFill>
                        </a:ln>
                      </wps:spPr>
                      <wps:txbx>
                        <w:txbxContent>
                          <w:p w14:paraId="6BE883C6" w14:textId="07445DB7" w:rsidR="004B3216" w:rsidRPr="00FC6B35" w:rsidRDefault="004B3216" w:rsidP="004B3216">
                            <w:pPr>
                              <w:jc w:val="center"/>
                              <w:rPr>
                                <w:sz w:val="22"/>
                                <w:szCs w:val="22"/>
                              </w:rPr>
                            </w:pPr>
                            <w:r w:rsidRPr="00021D38">
                              <w:rPr>
                                <w:i/>
                                <w:sz w:val="22"/>
                                <w:szCs w:val="22"/>
                              </w:rPr>
                              <w:t xml:space="preserve">Planning Futures has been commissioned by the National Association of Local Councils’ (NALC) Legal team to prepare this briefing note on how the Community Infrastructure Levy or </w:t>
                            </w:r>
                            <w:proofErr w:type="gramStart"/>
                            <w:r w:rsidRPr="00021D38">
                              <w:rPr>
                                <w:i/>
                                <w:sz w:val="22"/>
                                <w:szCs w:val="22"/>
                              </w:rPr>
                              <w:t>CIL,</w:t>
                            </w:r>
                            <w:proofErr w:type="gramEnd"/>
                            <w:r w:rsidRPr="00021D38">
                              <w:rPr>
                                <w:i/>
                                <w:sz w:val="22"/>
                                <w:szCs w:val="22"/>
                              </w:rPr>
                              <w:t xml:space="preserve"> can help your Town or Parish Council (TPC) to deliver and support local infrastructure provision</w:t>
                            </w:r>
                            <w:r w:rsidRPr="00FC6B35">
                              <w:rPr>
                                <w:sz w:val="22"/>
                                <w:szCs w:val="22"/>
                              </w:rPr>
                              <w:t>.</w:t>
                            </w:r>
                          </w:p>
                          <w:p w14:paraId="623D1BC2" w14:textId="77777777" w:rsidR="004B3216" w:rsidRDefault="004B32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5.1pt;width:450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" fillcolor="white [3201]" strokeweight=".5pt">
                <v:textbox>
                  <w:txbxContent>
                    <w:p w14:paraId="6BE883C6" w14:textId="07445DB7" w:rsidR="004B3216" w:rsidRPr="00FC6B35" w:rsidRDefault="004B3216" w:rsidP="004B3216">
                      <w:pPr>
                        <w:jc w:val="center"/>
                        <w:rPr>
                          <w:sz w:val="22"/>
                          <w:szCs w:val="22"/>
                        </w:rPr>
                      </w:pPr>
                      <w:r w:rsidRPr="00021D38">
                        <w:rPr>
                          <w:i/>
                          <w:sz w:val="22"/>
                          <w:szCs w:val="22"/>
                        </w:rPr>
                        <w:t xml:space="preserve">Planning Futures has been commissioned by the National Association of Local Councils’ (NALC) Legal team to prepare this briefing note on how the Community Infrastructure Levy or </w:t>
                      </w:r>
                      <w:proofErr w:type="gramStart"/>
                      <w:r w:rsidRPr="00021D38">
                        <w:rPr>
                          <w:i/>
                          <w:sz w:val="22"/>
                          <w:szCs w:val="22"/>
                        </w:rPr>
                        <w:t>CIL,</w:t>
                      </w:r>
                      <w:proofErr w:type="gramEnd"/>
                      <w:r w:rsidRPr="00021D38">
                        <w:rPr>
                          <w:i/>
                          <w:sz w:val="22"/>
                          <w:szCs w:val="22"/>
                        </w:rPr>
                        <w:t xml:space="preserve"> can help your Town or Parish Council (TPC) to deliver and support local infrastructure provision</w:t>
                      </w:r>
                      <w:r w:rsidRPr="00FC6B35">
                        <w:rPr>
                          <w:sz w:val="22"/>
                          <w:szCs w:val="22"/>
                        </w:rPr>
                        <w:t>.</w:t>
                      </w:r>
                    </w:p>
                    <w:p w14:paraId="623D1BC2" w14:textId="77777777" w:rsidR="004B3216" w:rsidRDefault="004B3216"/>
                  </w:txbxContent>
                </v:textbox>
              </v:shape>
            </w:pict>
          </mc:Fallback>
        </mc:AlternateContent>
      </w:r>
    </w:p>
    <w:p w14:paraId="62C8F6E7" w14:textId="77777777" w:rsidR="00FC6B35" w:rsidRDefault="00FC6B35">
      <w:pPr>
        <w:rPr>
          <w:sz w:val="36"/>
          <w:szCs w:val="36"/>
        </w:rPr>
      </w:pPr>
    </w:p>
    <w:p w14:paraId="6E3DD993" w14:textId="1C898FFC" w:rsidR="004B3216" w:rsidRDefault="004B3216">
      <w:pPr>
        <w:rPr>
          <w:sz w:val="36"/>
          <w:szCs w:val="36"/>
        </w:rPr>
      </w:pPr>
    </w:p>
    <w:p w14:paraId="7C2429AD" w14:textId="7A140DA0" w:rsidR="00564309" w:rsidRPr="00804F6B" w:rsidRDefault="00564309">
      <w:r w:rsidRPr="00804F6B">
        <w:rPr>
          <w:sz w:val="36"/>
          <w:szCs w:val="36"/>
        </w:rPr>
        <w:t>What is CIL?</w:t>
      </w:r>
    </w:p>
    <w:p w14:paraId="47D7B81E" w14:textId="4C94D420" w:rsidR="000652F5" w:rsidRPr="00FC6B35" w:rsidRDefault="00564309" w:rsidP="001D6B65">
      <w:pPr>
        <w:jc w:val="both"/>
        <w:rPr>
          <w:sz w:val="22"/>
          <w:szCs w:val="22"/>
        </w:rPr>
      </w:pPr>
      <w:r w:rsidRPr="00FC6B35">
        <w:rPr>
          <w:sz w:val="22"/>
          <w:szCs w:val="22"/>
        </w:rPr>
        <w:t xml:space="preserve">CIL is a charge on development that came into force in 2010 (and runs in tandem with s.106 contributions). </w:t>
      </w:r>
      <w:r w:rsidR="00804F6B" w:rsidRPr="00FC6B35">
        <w:rPr>
          <w:sz w:val="22"/>
          <w:szCs w:val="22"/>
        </w:rPr>
        <w:t>The purpose of the CIL is to fund infrastructure to support local development.</w:t>
      </w:r>
    </w:p>
    <w:p w14:paraId="6F219360" w14:textId="75633838" w:rsidR="000652F5" w:rsidRPr="00FC6B35" w:rsidRDefault="00564309" w:rsidP="001D6B65">
      <w:pPr>
        <w:jc w:val="both"/>
        <w:rPr>
          <w:sz w:val="22"/>
          <w:szCs w:val="22"/>
        </w:rPr>
      </w:pPr>
      <w:r w:rsidRPr="00FC6B35">
        <w:rPr>
          <w:sz w:val="22"/>
          <w:szCs w:val="22"/>
        </w:rPr>
        <w:t>Local Administrations can cho</w:t>
      </w:r>
      <w:r w:rsidR="000652F5" w:rsidRPr="00FC6B35">
        <w:rPr>
          <w:sz w:val="22"/>
          <w:szCs w:val="22"/>
        </w:rPr>
        <w:t>o</w:t>
      </w:r>
      <w:r w:rsidRPr="00FC6B35">
        <w:rPr>
          <w:sz w:val="22"/>
          <w:szCs w:val="22"/>
        </w:rPr>
        <w:t xml:space="preserve">se whether or not to charge CIL within their </w:t>
      </w:r>
      <w:r w:rsidR="00804F6B" w:rsidRPr="00FC6B35">
        <w:rPr>
          <w:sz w:val="22"/>
          <w:szCs w:val="22"/>
        </w:rPr>
        <w:t>B</w:t>
      </w:r>
      <w:r w:rsidRPr="00FC6B35">
        <w:rPr>
          <w:sz w:val="22"/>
          <w:szCs w:val="22"/>
        </w:rPr>
        <w:t>orough/</w:t>
      </w:r>
      <w:r w:rsidR="00804F6B" w:rsidRPr="00FC6B35">
        <w:rPr>
          <w:sz w:val="22"/>
          <w:szCs w:val="22"/>
        </w:rPr>
        <w:t>D</w:t>
      </w:r>
      <w:r w:rsidRPr="00FC6B35">
        <w:rPr>
          <w:sz w:val="22"/>
          <w:szCs w:val="22"/>
        </w:rPr>
        <w:t>istrict</w:t>
      </w:r>
      <w:r w:rsidR="00804F6B" w:rsidRPr="00FC6B35">
        <w:rPr>
          <w:sz w:val="22"/>
          <w:szCs w:val="22"/>
        </w:rPr>
        <w:t xml:space="preserve"> and the levy is usually collected by the Local Planning Authority who </w:t>
      </w:r>
      <w:proofErr w:type="gramStart"/>
      <w:r w:rsidR="00804F6B" w:rsidRPr="00FC6B35">
        <w:rPr>
          <w:sz w:val="22"/>
          <w:szCs w:val="22"/>
        </w:rPr>
        <w:t>are</w:t>
      </w:r>
      <w:proofErr w:type="gramEnd"/>
      <w:r w:rsidR="00804F6B" w:rsidRPr="00FC6B35">
        <w:rPr>
          <w:sz w:val="22"/>
          <w:szCs w:val="22"/>
        </w:rPr>
        <w:t xml:space="preserve"> known </w:t>
      </w:r>
      <w:r w:rsidR="000652F5" w:rsidRPr="00FC6B35">
        <w:rPr>
          <w:sz w:val="22"/>
          <w:szCs w:val="22"/>
        </w:rPr>
        <w:t xml:space="preserve">as the “Charging </w:t>
      </w:r>
      <w:r w:rsidR="001D6B65">
        <w:rPr>
          <w:sz w:val="22"/>
          <w:szCs w:val="22"/>
        </w:rPr>
        <w:t>A</w:t>
      </w:r>
      <w:r w:rsidR="000652F5" w:rsidRPr="00FC6B35">
        <w:rPr>
          <w:sz w:val="22"/>
          <w:szCs w:val="22"/>
        </w:rPr>
        <w:t>uthorities” (CA).</w:t>
      </w:r>
      <w:r w:rsidR="000652F5" w:rsidRPr="00FC6B35">
        <w:rPr>
          <w:rStyle w:val="FootnoteReference"/>
          <w:sz w:val="22"/>
          <w:szCs w:val="22"/>
        </w:rPr>
        <w:footnoteReference w:id="1"/>
      </w:r>
    </w:p>
    <w:p w14:paraId="3D34B25D" w14:textId="110C1229" w:rsidR="00CE1862" w:rsidRDefault="00804F6B" w:rsidP="001D6B65">
      <w:pPr>
        <w:jc w:val="both"/>
        <w:rPr>
          <w:sz w:val="22"/>
          <w:szCs w:val="22"/>
        </w:rPr>
      </w:pPr>
      <w:r w:rsidRPr="00FC6B35">
        <w:rPr>
          <w:sz w:val="22"/>
          <w:szCs w:val="22"/>
        </w:rPr>
        <w:t xml:space="preserve">The rate of CIL is set by the CA after consulting with their communities and developers (and is tested by Independent </w:t>
      </w:r>
      <w:r w:rsidR="001D6B65">
        <w:rPr>
          <w:sz w:val="22"/>
          <w:szCs w:val="22"/>
        </w:rPr>
        <w:t>E</w:t>
      </w:r>
      <w:r w:rsidRPr="00FC6B35">
        <w:rPr>
          <w:sz w:val="22"/>
          <w:szCs w:val="22"/>
        </w:rPr>
        <w:t xml:space="preserve">xamination). </w:t>
      </w:r>
    </w:p>
    <w:p w14:paraId="3251695B" w14:textId="77777777" w:rsidR="00CE1862" w:rsidRDefault="00CE1862">
      <w:pPr>
        <w:rPr>
          <w:sz w:val="22"/>
          <w:szCs w:val="22"/>
        </w:rPr>
      </w:pPr>
    </w:p>
    <w:p w14:paraId="65FBF7AC" w14:textId="29AB7918" w:rsidR="000652F5" w:rsidRPr="00CE1862" w:rsidRDefault="000652F5">
      <w:pPr>
        <w:rPr>
          <w:sz w:val="22"/>
          <w:szCs w:val="22"/>
        </w:rPr>
      </w:pPr>
      <w:r w:rsidRPr="00804F6B">
        <w:rPr>
          <w:sz w:val="36"/>
          <w:szCs w:val="36"/>
        </w:rPr>
        <w:t>T</w:t>
      </w:r>
      <w:r w:rsidR="00804F6B" w:rsidRPr="00804F6B">
        <w:rPr>
          <w:sz w:val="36"/>
          <w:szCs w:val="36"/>
        </w:rPr>
        <w:t>he</w:t>
      </w:r>
      <w:r w:rsidRPr="00804F6B">
        <w:rPr>
          <w:sz w:val="36"/>
          <w:szCs w:val="36"/>
        </w:rPr>
        <w:t xml:space="preserve"> T</w:t>
      </w:r>
      <w:r w:rsidR="00804F6B" w:rsidRPr="00804F6B">
        <w:rPr>
          <w:sz w:val="36"/>
          <w:szCs w:val="36"/>
        </w:rPr>
        <w:t>own</w:t>
      </w:r>
      <w:r w:rsidRPr="00804F6B">
        <w:rPr>
          <w:sz w:val="36"/>
          <w:szCs w:val="36"/>
        </w:rPr>
        <w:t xml:space="preserve"> </w:t>
      </w:r>
      <w:r w:rsidR="00804F6B" w:rsidRPr="00804F6B">
        <w:rPr>
          <w:sz w:val="36"/>
          <w:szCs w:val="36"/>
        </w:rPr>
        <w:t>and Parish Council Share</w:t>
      </w:r>
    </w:p>
    <w:p w14:paraId="202BD476" w14:textId="58EA141D" w:rsidR="00564309" w:rsidRPr="00FC6B35" w:rsidRDefault="000652F5" w:rsidP="001D6B65">
      <w:pPr>
        <w:jc w:val="both"/>
        <w:rPr>
          <w:sz w:val="22"/>
          <w:szCs w:val="22"/>
        </w:rPr>
      </w:pPr>
      <w:r w:rsidRPr="00FC6B35">
        <w:rPr>
          <w:sz w:val="22"/>
          <w:szCs w:val="22"/>
        </w:rPr>
        <w:t>TPC</w:t>
      </w:r>
      <w:r w:rsidR="002F4C9C">
        <w:rPr>
          <w:sz w:val="22"/>
          <w:szCs w:val="22"/>
        </w:rPr>
        <w:t>s</w:t>
      </w:r>
      <w:r w:rsidR="00564309" w:rsidRPr="00FC6B35">
        <w:rPr>
          <w:sz w:val="22"/>
          <w:szCs w:val="22"/>
        </w:rPr>
        <w:t xml:space="preserve"> are entitled to a </w:t>
      </w:r>
      <w:r w:rsidRPr="00FC6B35">
        <w:rPr>
          <w:sz w:val="22"/>
          <w:szCs w:val="22"/>
        </w:rPr>
        <w:t xml:space="preserve">“Neighbourhood </w:t>
      </w:r>
      <w:r w:rsidR="00564309" w:rsidRPr="00FC6B35">
        <w:rPr>
          <w:sz w:val="22"/>
          <w:szCs w:val="22"/>
        </w:rPr>
        <w:t>proportion</w:t>
      </w:r>
      <w:r w:rsidRPr="00FC6B35">
        <w:rPr>
          <w:sz w:val="22"/>
          <w:szCs w:val="22"/>
        </w:rPr>
        <w:t>”</w:t>
      </w:r>
      <w:r w:rsidR="00564309" w:rsidRPr="00FC6B35">
        <w:rPr>
          <w:sz w:val="22"/>
          <w:szCs w:val="22"/>
        </w:rPr>
        <w:t xml:space="preserve"> </w:t>
      </w:r>
      <w:r w:rsidRPr="00FC6B35">
        <w:rPr>
          <w:sz w:val="22"/>
          <w:szCs w:val="22"/>
        </w:rPr>
        <w:t xml:space="preserve">(NP) (sometimes called the “Meaningful Proportion”) </w:t>
      </w:r>
      <w:r w:rsidR="00564309" w:rsidRPr="00FC6B35">
        <w:rPr>
          <w:sz w:val="22"/>
          <w:szCs w:val="22"/>
        </w:rPr>
        <w:t>of the CIL monies received</w:t>
      </w:r>
      <w:r w:rsidR="00804F6B" w:rsidRPr="00FC6B35">
        <w:rPr>
          <w:sz w:val="22"/>
          <w:szCs w:val="22"/>
        </w:rPr>
        <w:t xml:space="preserve"> by the CA</w:t>
      </w:r>
      <w:r w:rsidRPr="00FC6B35">
        <w:rPr>
          <w:sz w:val="22"/>
          <w:szCs w:val="22"/>
        </w:rPr>
        <w:t>.</w:t>
      </w:r>
    </w:p>
    <w:p w14:paraId="48FA3C68" w14:textId="5B6E6C1B" w:rsidR="000652F5" w:rsidRPr="00FC6B35" w:rsidRDefault="000652F5" w:rsidP="001D6B65">
      <w:pPr>
        <w:jc w:val="both"/>
        <w:rPr>
          <w:sz w:val="22"/>
          <w:szCs w:val="22"/>
        </w:rPr>
      </w:pPr>
      <w:r w:rsidRPr="00FC6B35">
        <w:rPr>
          <w:sz w:val="22"/>
          <w:szCs w:val="22"/>
        </w:rPr>
        <w:t>The amount you receive depends on whether or not you have an adopted Neighbourhood Plan in place.</w:t>
      </w:r>
    </w:p>
    <w:p w14:paraId="1025FFCC" w14:textId="77777777" w:rsidR="000E3BEF" w:rsidRDefault="000652F5" w:rsidP="001D6B65">
      <w:pPr>
        <w:rPr>
          <w:b/>
          <w:sz w:val="22"/>
          <w:szCs w:val="22"/>
        </w:rPr>
      </w:pPr>
      <w:r w:rsidRPr="00FC6B35">
        <w:rPr>
          <w:b/>
          <w:sz w:val="22"/>
          <w:szCs w:val="22"/>
        </w:rPr>
        <w:t xml:space="preserve">No Neighbourhood Plan – </w:t>
      </w:r>
      <w:r w:rsidRPr="00FC6B35">
        <w:rPr>
          <w:sz w:val="22"/>
          <w:szCs w:val="22"/>
        </w:rPr>
        <w:t>You will receive 15% (capped at £100 per existing council tax dwelling in the Council’s area).</w:t>
      </w:r>
      <w:r w:rsidR="00CE1862">
        <w:rPr>
          <w:b/>
          <w:sz w:val="22"/>
          <w:szCs w:val="22"/>
        </w:rPr>
        <w:br/>
      </w:r>
      <w:r w:rsidR="000E3BEF">
        <w:rPr>
          <w:b/>
          <w:sz w:val="22"/>
          <w:szCs w:val="22"/>
        </w:rPr>
        <w:br/>
      </w:r>
      <w:r w:rsidRPr="00FC6B35">
        <w:rPr>
          <w:b/>
          <w:sz w:val="22"/>
          <w:szCs w:val="22"/>
        </w:rPr>
        <w:t xml:space="preserve">Adopted Neighbourhood Plan in your area </w:t>
      </w:r>
      <w:r w:rsidRPr="00FC6B35">
        <w:rPr>
          <w:sz w:val="22"/>
          <w:szCs w:val="22"/>
        </w:rPr>
        <w:t>(or a development that has been granted permission by a Neighbourhood Development order)?</w:t>
      </w:r>
      <w:r w:rsidRPr="00FC6B35">
        <w:rPr>
          <w:b/>
          <w:sz w:val="22"/>
          <w:szCs w:val="22"/>
        </w:rPr>
        <w:t xml:space="preserve"> – </w:t>
      </w:r>
      <w:r w:rsidRPr="00FC6B35">
        <w:rPr>
          <w:sz w:val="22"/>
          <w:szCs w:val="22"/>
        </w:rPr>
        <w:t>You will receive 25% of CIL receipts (uncapped).</w:t>
      </w:r>
      <w:r w:rsidRPr="00FC6B35">
        <w:rPr>
          <w:rStyle w:val="FootnoteReference"/>
          <w:sz w:val="22"/>
          <w:szCs w:val="22"/>
        </w:rPr>
        <w:footnoteReference w:id="2"/>
      </w:r>
    </w:p>
    <w:p w14:paraId="478A00F1" w14:textId="77777777" w:rsidR="00E5712E" w:rsidRDefault="00E5712E" w:rsidP="00564309">
      <w:pPr>
        <w:rPr>
          <w:sz w:val="36"/>
          <w:szCs w:val="36"/>
        </w:rPr>
      </w:pPr>
    </w:p>
    <w:p w14:paraId="4A92F21D" w14:textId="16B29EAB" w:rsidR="00564309" w:rsidRPr="000E3BEF" w:rsidRDefault="00E5712E" w:rsidP="00564309">
      <w:pPr>
        <w:rPr>
          <w:b/>
          <w:sz w:val="22"/>
          <w:szCs w:val="22"/>
        </w:rPr>
      </w:pPr>
      <w:r>
        <w:rPr>
          <w:noProof/>
          <w:lang w:eastAsia="en-GB"/>
        </w:rPr>
        <w:lastRenderedPageBreak/>
        <mc:AlternateContent>
          <mc:Choice Requires="wps">
            <w:drawing>
              <wp:anchor distT="0" distB="0" distL="114300" distR="114300" simplePos="0" relativeHeight="251664384" behindDoc="0" locked="0" layoutInCell="1" allowOverlap="1" wp14:anchorId="7951C5B5" wp14:editId="3F38F761">
                <wp:simplePos x="0" y="0"/>
                <wp:positionH relativeFrom="column">
                  <wp:posOffset>-672465</wp:posOffset>
                </wp:positionH>
                <wp:positionV relativeFrom="paragraph">
                  <wp:posOffset>-320978</wp:posOffset>
                </wp:positionV>
                <wp:extent cx="7055485" cy="10187305"/>
                <wp:effectExtent l="19050" t="19050" r="12065" b="23495"/>
                <wp:wrapNone/>
                <wp:docPr id="6" name="Rectangle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9D6CD6EA-13C3-4336-AC1C-EACF15643509}"/>
                    </a:ext>
                  </a:extLst>
                </wp:docPr>
                <wp:cNvGraphicFramePr/>
                <a:graphic xmlns:a="http://schemas.openxmlformats.org/drawingml/2006/main">
                  <a:graphicData uri="http://schemas.microsoft.com/office/word/2010/wordprocessingShape">
                    <wps:wsp>
                      <wps:cNvSpPr/>
                      <wps:spPr>
                        <a:xfrm>
                          <a:off x="0" y="0"/>
                          <a:ext cx="7055485" cy="10187305"/>
                        </a:xfrm>
                        <a:prstGeom prst="rect">
                          <a:avLst/>
                        </a:prstGeom>
                        <a:noFill/>
                        <a:ln w="31750" cap="flat" cmpd="sng" algn="ctr">
                          <a:solidFill>
                            <a:srgbClr val="F15A29"/>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2.95pt;margin-top:-25.25pt;width:555.55pt;height:80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" filled="f" strokecolor="#f15a29" strokeweight="2.5pt"/>
            </w:pict>
          </mc:Fallback>
        </mc:AlternateContent>
      </w:r>
      <w:r w:rsidR="000652F5" w:rsidRPr="00804F6B">
        <w:rPr>
          <w:sz w:val="36"/>
          <w:szCs w:val="36"/>
        </w:rPr>
        <w:t>What can you spend it on?</w:t>
      </w:r>
    </w:p>
    <w:p w14:paraId="4E76C958" w14:textId="6791872F" w:rsidR="00804F6B" w:rsidRPr="00FC6B35" w:rsidRDefault="000652F5" w:rsidP="001D6B65">
      <w:pPr>
        <w:jc w:val="both"/>
        <w:rPr>
          <w:sz w:val="22"/>
          <w:szCs w:val="22"/>
        </w:rPr>
      </w:pPr>
      <w:r w:rsidRPr="00FC6B35">
        <w:rPr>
          <w:sz w:val="22"/>
          <w:szCs w:val="22"/>
        </w:rPr>
        <w:t xml:space="preserve">CIL monies </w:t>
      </w:r>
      <w:r w:rsidR="00804F6B" w:rsidRPr="00FC6B35">
        <w:rPr>
          <w:sz w:val="22"/>
          <w:szCs w:val="22"/>
        </w:rPr>
        <w:t>can</w:t>
      </w:r>
      <w:r w:rsidRPr="00FC6B35">
        <w:rPr>
          <w:sz w:val="22"/>
          <w:szCs w:val="22"/>
        </w:rPr>
        <w:t xml:space="preserve"> be used to support the development of the local area</w:t>
      </w:r>
      <w:r w:rsidR="00804F6B" w:rsidRPr="00FC6B35">
        <w:rPr>
          <w:sz w:val="22"/>
          <w:szCs w:val="22"/>
        </w:rPr>
        <w:t xml:space="preserve"> to fund:</w:t>
      </w:r>
    </w:p>
    <w:p w14:paraId="7687967E" w14:textId="77777777" w:rsidR="00804F6B" w:rsidRPr="00FC6B35" w:rsidRDefault="00804F6B" w:rsidP="001D6B65">
      <w:pPr>
        <w:ind w:firstLine="720"/>
        <w:jc w:val="both"/>
        <w:rPr>
          <w:sz w:val="22"/>
          <w:szCs w:val="22"/>
        </w:rPr>
      </w:pPr>
      <w:r w:rsidRPr="00FC6B35">
        <w:rPr>
          <w:sz w:val="22"/>
          <w:szCs w:val="22"/>
        </w:rPr>
        <w:t>(a) the provision, improvement, replacement, operation or maintenance of infrastructure; or</w:t>
      </w:r>
    </w:p>
    <w:p w14:paraId="4AA55470" w14:textId="77777777" w:rsidR="00804F6B" w:rsidRPr="00FC6B35" w:rsidRDefault="00804F6B" w:rsidP="001D6B65">
      <w:pPr>
        <w:ind w:left="720"/>
        <w:jc w:val="both"/>
        <w:rPr>
          <w:sz w:val="22"/>
          <w:szCs w:val="22"/>
        </w:rPr>
      </w:pPr>
      <w:r w:rsidRPr="00FC6B35">
        <w:rPr>
          <w:sz w:val="22"/>
          <w:szCs w:val="22"/>
        </w:rPr>
        <w:t>(b) anything else that is concerned with addressing the demands that development places on an area</w:t>
      </w:r>
      <w:r w:rsidRPr="00FC6B35">
        <w:rPr>
          <w:rStyle w:val="FootnoteReference"/>
          <w:sz w:val="22"/>
          <w:szCs w:val="22"/>
        </w:rPr>
        <w:footnoteReference w:id="3"/>
      </w:r>
      <w:r w:rsidRPr="00FC6B35">
        <w:rPr>
          <w:sz w:val="22"/>
          <w:szCs w:val="22"/>
        </w:rPr>
        <w:t>.</w:t>
      </w:r>
    </w:p>
    <w:p w14:paraId="1882ABA3" w14:textId="43A51F7C" w:rsidR="00804F6B" w:rsidRPr="00FC6B35" w:rsidRDefault="00804F6B" w:rsidP="001D6B65">
      <w:pPr>
        <w:jc w:val="both"/>
        <w:rPr>
          <w:sz w:val="22"/>
          <w:szCs w:val="22"/>
        </w:rPr>
      </w:pPr>
      <w:r w:rsidRPr="00FC6B35">
        <w:rPr>
          <w:sz w:val="22"/>
          <w:szCs w:val="22"/>
        </w:rPr>
        <w:t>“Infrastructure” includes physical, social and green infrastructure e.g. Highways; cycleways; education facilities; sports and community halls; parks and play areas.</w:t>
      </w:r>
    </w:p>
    <w:p w14:paraId="7403D89D" w14:textId="5C44F945" w:rsidR="000652F5" w:rsidRPr="00FC6B35" w:rsidRDefault="00804F6B" w:rsidP="001D6B65">
      <w:pPr>
        <w:jc w:val="both"/>
        <w:rPr>
          <w:sz w:val="22"/>
          <w:szCs w:val="22"/>
        </w:rPr>
      </w:pPr>
      <w:r w:rsidRPr="00FC6B35">
        <w:rPr>
          <w:sz w:val="22"/>
          <w:szCs w:val="22"/>
        </w:rPr>
        <w:t xml:space="preserve">CIL monies cannot be used </w:t>
      </w:r>
      <w:r w:rsidR="000652F5" w:rsidRPr="00FC6B35">
        <w:rPr>
          <w:sz w:val="22"/>
          <w:szCs w:val="22"/>
        </w:rPr>
        <w:t>for everyday TPC expenditure</w:t>
      </w:r>
      <w:r w:rsidRPr="00FC6B35">
        <w:rPr>
          <w:sz w:val="22"/>
          <w:szCs w:val="22"/>
        </w:rPr>
        <w:t xml:space="preserve"> or for spending on items or services which fall outside the TPC’s remit </w:t>
      </w:r>
      <w:r w:rsidR="000652F5" w:rsidRPr="00FC6B35">
        <w:rPr>
          <w:sz w:val="22"/>
          <w:szCs w:val="22"/>
        </w:rPr>
        <w:t>(whether that be by statute or Power of Competence</w:t>
      </w:r>
      <w:r w:rsidR="000652F5" w:rsidRPr="00FC6B35">
        <w:rPr>
          <w:sz w:val="22"/>
          <w:szCs w:val="22"/>
          <w:vertAlign w:val="superscript"/>
        </w:rPr>
        <w:footnoteReference w:id="4"/>
      </w:r>
      <w:r w:rsidR="000652F5" w:rsidRPr="00FC6B35">
        <w:rPr>
          <w:sz w:val="22"/>
          <w:szCs w:val="22"/>
        </w:rPr>
        <w:t xml:space="preserve">). </w:t>
      </w:r>
    </w:p>
    <w:p w14:paraId="1567FF60" w14:textId="7D7CB83B" w:rsidR="000652F5" w:rsidRPr="00AD380B" w:rsidRDefault="00A37800" w:rsidP="001D6B65">
      <w:pPr>
        <w:jc w:val="both"/>
        <w:rPr>
          <w:b/>
          <w:sz w:val="22"/>
          <w:szCs w:val="22"/>
        </w:rPr>
      </w:pPr>
      <w:r w:rsidRPr="00AD380B">
        <w:rPr>
          <w:b/>
          <w:sz w:val="22"/>
          <w:szCs w:val="22"/>
        </w:rPr>
        <w:t>Examples of how CIL monies have been spent include:</w:t>
      </w:r>
    </w:p>
    <w:p w14:paraId="7A875A31" w14:textId="4E048663" w:rsidR="00BF147B" w:rsidRPr="00BF147B" w:rsidRDefault="00BF147B" w:rsidP="001D6B65">
      <w:pPr>
        <w:pStyle w:val="ListParagraph"/>
        <w:numPr>
          <w:ilvl w:val="0"/>
          <w:numId w:val="10"/>
        </w:numPr>
        <w:jc w:val="both"/>
        <w:rPr>
          <w:sz w:val="22"/>
          <w:szCs w:val="22"/>
        </w:rPr>
      </w:pPr>
      <w:r w:rsidRPr="00BF147B">
        <w:rPr>
          <w:sz w:val="22"/>
          <w:szCs w:val="22"/>
        </w:rPr>
        <w:t xml:space="preserve">Supporting a Town Bus service </w:t>
      </w:r>
      <w:r w:rsidRPr="00BF147B">
        <w:rPr>
          <w:b/>
          <w:sz w:val="22"/>
          <w:szCs w:val="22"/>
        </w:rPr>
        <w:t>(Henley on Thames T</w:t>
      </w:r>
      <w:r w:rsidR="001D6B65">
        <w:rPr>
          <w:b/>
          <w:sz w:val="22"/>
          <w:szCs w:val="22"/>
        </w:rPr>
        <w:t xml:space="preserve">own </w:t>
      </w:r>
      <w:r w:rsidRPr="00BF147B">
        <w:rPr>
          <w:b/>
          <w:sz w:val="22"/>
          <w:szCs w:val="22"/>
        </w:rPr>
        <w:t>C</w:t>
      </w:r>
      <w:r w:rsidR="001D6B65">
        <w:rPr>
          <w:b/>
          <w:sz w:val="22"/>
          <w:szCs w:val="22"/>
        </w:rPr>
        <w:t>ouncil</w:t>
      </w:r>
      <w:r w:rsidRPr="00BF147B">
        <w:rPr>
          <w:b/>
          <w:sz w:val="22"/>
          <w:szCs w:val="22"/>
        </w:rPr>
        <w:t>)</w:t>
      </w:r>
    </w:p>
    <w:p w14:paraId="359C0FD9" w14:textId="23D4AC52" w:rsidR="00BF147B" w:rsidRPr="00BF147B" w:rsidRDefault="00BF147B" w:rsidP="001D6B65">
      <w:pPr>
        <w:pStyle w:val="ListParagraph"/>
        <w:numPr>
          <w:ilvl w:val="0"/>
          <w:numId w:val="10"/>
        </w:numPr>
        <w:jc w:val="both"/>
        <w:rPr>
          <w:sz w:val="22"/>
          <w:szCs w:val="22"/>
        </w:rPr>
      </w:pPr>
      <w:r w:rsidRPr="00BF147B">
        <w:rPr>
          <w:sz w:val="22"/>
          <w:szCs w:val="22"/>
        </w:rPr>
        <w:t xml:space="preserve">Ultrafast fibre Broadband </w:t>
      </w:r>
      <w:r w:rsidRPr="00BF147B">
        <w:rPr>
          <w:b/>
          <w:sz w:val="22"/>
          <w:szCs w:val="22"/>
        </w:rPr>
        <w:t>(</w:t>
      </w:r>
      <w:proofErr w:type="spellStart"/>
      <w:r w:rsidRPr="00BF147B">
        <w:rPr>
          <w:b/>
          <w:sz w:val="22"/>
          <w:szCs w:val="22"/>
        </w:rPr>
        <w:t>Waterstock</w:t>
      </w:r>
      <w:proofErr w:type="spellEnd"/>
      <w:r w:rsidRPr="00BF147B">
        <w:rPr>
          <w:b/>
          <w:sz w:val="22"/>
          <w:szCs w:val="22"/>
        </w:rPr>
        <w:t xml:space="preserve"> P</w:t>
      </w:r>
      <w:r w:rsidR="001D6B65">
        <w:rPr>
          <w:b/>
          <w:sz w:val="22"/>
          <w:szCs w:val="22"/>
        </w:rPr>
        <w:t xml:space="preserve">arish </w:t>
      </w:r>
      <w:r w:rsidRPr="00BF147B">
        <w:rPr>
          <w:b/>
          <w:sz w:val="22"/>
          <w:szCs w:val="22"/>
        </w:rPr>
        <w:t>C</w:t>
      </w:r>
      <w:r w:rsidR="001D6B65">
        <w:rPr>
          <w:b/>
          <w:sz w:val="22"/>
          <w:szCs w:val="22"/>
        </w:rPr>
        <w:t>ouncil</w:t>
      </w:r>
      <w:r w:rsidRPr="00BF147B">
        <w:rPr>
          <w:b/>
          <w:sz w:val="22"/>
          <w:szCs w:val="22"/>
        </w:rPr>
        <w:t>)</w:t>
      </w:r>
    </w:p>
    <w:p w14:paraId="3F18D006" w14:textId="21DDF54F" w:rsidR="00BF147B" w:rsidRPr="00BF147B" w:rsidRDefault="00BF147B" w:rsidP="001D6B65">
      <w:pPr>
        <w:pStyle w:val="ListParagraph"/>
        <w:numPr>
          <w:ilvl w:val="0"/>
          <w:numId w:val="10"/>
        </w:numPr>
        <w:jc w:val="both"/>
        <w:rPr>
          <w:sz w:val="22"/>
          <w:szCs w:val="22"/>
        </w:rPr>
      </w:pPr>
      <w:r w:rsidRPr="00BF147B">
        <w:rPr>
          <w:sz w:val="22"/>
          <w:szCs w:val="22"/>
        </w:rPr>
        <w:t xml:space="preserve">Installing village gates on a main road verge to slow down traffic </w:t>
      </w:r>
      <w:r w:rsidRPr="00BF147B">
        <w:rPr>
          <w:b/>
          <w:sz w:val="22"/>
          <w:szCs w:val="22"/>
        </w:rPr>
        <w:t xml:space="preserve">(Bix and </w:t>
      </w:r>
      <w:proofErr w:type="spellStart"/>
      <w:r w:rsidRPr="00BF147B">
        <w:rPr>
          <w:b/>
          <w:sz w:val="22"/>
          <w:szCs w:val="22"/>
        </w:rPr>
        <w:t>Assendon</w:t>
      </w:r>
      <w:proofErr w:type="spellEnd"/>
      <w:r w:rsidRPr="00BF147B">
        <w:rPr>
          <w:b/>
          <w:sz w:val="22"/>
          <w:szCs w:val="22"/>
        </w:rPr>
        <w:t xml:space="preserve"> P</w:t>
      </w:r>
      <w:r w:rsidR="001D6B65">
        <w:rPr>
          <w:b/>
          <w:sz w:val="22"/>
          <w:szCs w:val="22"/>
        </w:rPr>
        <w:t xml:space="preserve">arish </w:t>
      </w:r>
      <w:r w:rsidRPr="00BF147B">
        <w:rPr>
          <w:b/>
          <w:sz w:val="22"/>
          <w:szCs w:val="22"/>
        </w:rPr>
        <w:t>C</w:t>
      </w:r>
      <w:r w:rsidR="001D6B65">
        <w:rPr>
          <w:b/>
          <w:sz w:val="22"/>
          <w:szCs w:val="22"/>
        </w:rPr>
        <w:t>ouncil</w:t>
      </w:r>
      <w:r w:rsidRPr="00BF147B">
        <w:rPr>
          <w:b/>
          <w:sz w:val="22"/>
          <w:szCs w:val="22"/>
        </w:rPr>
        <w:t>)</w:t>
      </w:r>
    </w:p>
    <w:p w14:paraId="03E2D5D4" w14:textId="77777777" w:rsidR="00A37800" w:rsidRPr="001D6B65" w:rsidRDefault="00A37800" w:rsidP="000652F5">
      <w:pPr>
        <w:rPr>
          <w:sz w:val="32"/>
          <w:szCs w:val="36"/>
        </w:rPr>
      </w:pPr>
    </w:p>
    <w:p w14:paraId="0FF986D9" w14:textId="42AD0D45" w:rsidR="000652F5" w:rsidRPr="00804F6B" w:rsidRDefault="00D72488" w:rsidP="000652F5">
      <w:pPr>
        <w:rPr>
          <w:sz w:val="36"/>
          <w:szCs w:val="36"/>
        </w:rPr>
      </w:pPr>
      <w:r>
        <w:rPr>
          <w:sz w:val="36"/>
          <w:szCs w:val="36"/>
        </w:rPr>
        <w:t>Deciding your spending priorities</w:t>
      </w:r>
    </w:p>
    <w:p w14:paraId="2344C29A" w14:textId="77777777" w:rsidR="00D72488" w:rsidRPr="00FC6B35" w:rsidRDefault="000652F5" w:rsidP="001D6B65">
      <w:pPr>
        <w:jc w:val="both"/>
        <w:rPr>
          <w:sz w:val="22"/>
          <w:szCs w:val="22"/>
        </w:rPr>
      </w:pPr>
      <w:r w:rsidRPr="00FC6B35">
        <w:rPr>
          <w:sz w:val="22"/>
          <w:szCs w:val="22"/>
        </w:rPr>
        <w:t>You should consult with your local community to create your list of local priorities</w:t>
      </w:r>
      <w:r w:rsidR="00D72488" w:rsidRPr="00FC6B35">
        <w:rPr>
          <w:sz w:val="22"/>
          <w:szCs w:val="22"/>
        </w:rPr>
        <w:t xml:space="preserve">. </w:t>
      </w:r>
    </w:p>
    <w:p w14:paraId="41959C20" w14:textId="00AF63DC" w:rsidR="000652F5" w:rsidRPr="00FC6B35" w:rsidRDefault="00D72488" w:rsidP="001D6B65">
      <w:pPr>
        <w:jc w:val="both"/>
        <w:rPr>
          <w:sz w:val="22"/>
          <w:szCs w:val="22"/>
        </w:rPr>
      </w:pPr>
      <w:r w:rsidRPr="00FC6B35">
        <w:rPr>
          <w:sz w:val="22"/>
          <w:szCs w:val="22"/>
        </w:rPr>
        <w:t>To ensure that any consultation is inclusive and meaningful</w:t>
      </w:r>
      <w:r w:rsidR="003D3012" w:rsidRPr="00FC6B35">
        <w:rPr>
          <w:sz w:val="22"/>
          <w:szCs w:val="22"/>
        </w:rPr>
        <w:t>,</w:t>
      </w:r>
      <w:r w:rsidRPr="00FC6B35">
        <w:rPr>
          <w:sz w:val="22"/>
          <w:szCs w:val="22"/>
        </w:rPr>
        <w:t xml:space="preserve"> and that all groups can engage </w:t>
      </w:r>
      <w:r w:rsidR="00987E0A">
        <w:rPr>
          <w:sz w:val="22"/>
          <w:szCs w:val="22"/>
        </w:rPr>
        <w:t>with</w:t>
      </w:r>
      <w:r w:rsidRPr="00FC6B35">
        <w:rPr>
          <w:sz w:val="22"/>
          <w:szCs w:val="22"/>
        </w:rPr>
        <w:t xml:space="preserve"> the CIL process, you should focus on ways of reaching out to all members of the community </w:t>
      </w:r>
      <w:r w:rsidR="003D3012" w:rsidRPr="00FC6B35">
        <w:rPr>
          <w:sz w:val="22"/>
          <w:szCs w:val="22"/>
        </w:rPr>
        <w:t>(</w:t>
      </w:r>
      <w:r w:rsidRPr="00FC6B35">
        <w:rPr>
          <w:sz w:val="22"/>
          <w:szCs w:val="22"/>
        </w:rPr>
        <w:t>particularly those who are less vocal or more vulnerable</w:t>
      </w:r>
      <w:r w:rsidR="003D3012" w:rsidRPr="00FC6B35">
        <w:rPr>
          <w:sz w:val="22"/>
          <w:szCs w:val="22"/>
        </w:rPr>
        <w:t>)</w:t>
      </w:r>
      <w:r w:rsidRPr="00FC6B35">
        <w:rPr>
          <w:sz w:val="22"/>
          <w:szCs w:val="22"/>
        </w:rPr>
        <w:t>. TPC newsletters and websites/social media platforms are a useful resource for this, as are community engagement events.</w:t>
      </w:r>
      <w:r w:rsidR="000652F5" w:rsidRPr="00FC6B35">
        <w:rPr>
          <w:sz w:val="22"/>
          <w:szCs w:val="22"/>
        </w:rPr>
        <w:t xml:space="preserve"> </w:t>
      </w:r>
    </w:p>
    <w:p w14:paraId="3D1E2274" w14:textId="3B375600" w:rsidR="003D3012" w:rsidRPr="00FC6B35" w:rsidRDefault="003D3012" w:rsidP="001D6B65">
      <w:pPr>
        <w:jc w:val="both"/>
        <w:rPr>
          <w:sz w:val="22"/>
          <w:szCs w:val="22"/>
        </w:rPr>
      </w:pPr>
      <w:r w:rsidRPr="00FC6B35">
        <w:rPr>
          <w:sz w:val="22"/>
          <w:szCs w:val="22"/>
        </w:rPr>
        <w:t xml:space="preserve">CIL can be used to shape the future of your local area.  </w:t>
      </w:r>
    </w:p>
    <w:p w14:paraId="481C912F" w14:textId="34B4B28F" w:rsidR="003D3012" w:rsidRDefault="003D3012" w:rsidP="001D6B65">
      <w:pPr>
        <w:jc w:val="both"/>
        <w:rPr>
          <w:sz w:val="22"/>
          <w:szCs w:val="22"/>
        </w:rPr>
      </w:pPr>
      <w:r w:rsidRPr="00FC6B35">
        <w:rPr>
          <w:sz w:val="22"/>
          <w:szCs w:val="22"/>
        </w:rPr>
        <w:t>By engaging early with your CA, you can coordinate spending to leverage your CIL monies to maximum effect.  For instance, you may wish to contribute to larger infrastructure projects to be undertaken by the District or County Council, which will benefit your area in the long-term.</w:t>
      </w:r>
    </w:p>
    <w:p w14:paraId="1332ECFF" w14:textId="69A45C7F" w:rsidR="00A37800" w:rsidRPr="001D6B65" w:rsidRDefault="00A37800" w:rsidP="003D3012">
      <w:pPr>
        <w:rPr>
          <w:b/>
          <w:sz w:val="22"/>
          <w:szCs w:val="22"/>
          <w:u w:val="single"/>
        </w:rPr>
      </w:pPr>
      <w:r w:rsidRPr="001D6B65">
        <w:rPr>
          <w:b/>
          <w:sz w:val="22"/>
          <w:szCs w:val="22"/>
          <w:u w:val="single"/>
        </w:rPr>
        <w:t xml:space="preserve">Case Study: </w:t>
      </w:r>
    </w:p>
    <w:tbl>
      <w:tblPr>
        <w:tblW w:w="9634" w:type="dxa"/>
        <w:tblInd w:w="-170" w:type="dxa"/>
        <w:tblBorders>
          <w:top w:val="single" w:sz="18" w:space="0" w:color="FF6600"/>
          <w:left w:val="single" w:sz="18" w:space="0" w:color="FF6600"/>
          <w:bottom w:val="single" w:sz="18" w:space="0" w:color="FF6600"/>
          <w:right w:val="single" w:sz="18" w:space="0" w:color="FF6600"/>
          <w:insideH w:val="single" w:sz="18" w:space="0" w:color="FF6600"/>
          <w:insideV w:val="single" w:sz="18" w:space="0" w:color="FF6600"/>
        </w:tblBorders>
        <w:tblLook w:val="0000" w:firstRow="0" w:lastRow="0" w:firstColumn="0" w:lastColumn="0" w:noHBand="0" w:noVBand="0"/>
      </w:tblPr>
      <w:tblGrid>
        <w:gridCol w:w="9634"/>
      </w:tblGrid>
      <w:tr w:rsidR="00A37800" w14:paraId="77EED375" w14:textId="77777777" w:rsidTr="00AD380B">
        <w:trPr>
          <w:trHeight w:val="1254"/>
        </w:trPr>
        <w:tc>
          <w:tcPr>
            <w:tcW w:w="9634" w:type="dxa"/>
          </w:tcPr>
          <w:p w14:paraId="64B7BD87" w14:textId="607D4C32" w:rsidR="00A37800" w:rsidRPr="00AD380B" w:rsidRDefault="00BF147B" w:rsidP="00AD380B">
            <w:pPr>
              <w:jc w:val="both"/>
              <w:rPr>
                <w:b/>
                <w:sz w:val="22"/>
                <w:szCs w:val="23"/>
              </w:rPr>
            </w:pPr>
            <w:r w:rsidRPr="00AD380B">
              <w:rPr>
                <w:b/>
                <w:sz w:val="22"/>
                <w:szCs w:val="23"/>
              </w:rPr>
              <w:t>Wokingham Town Council worked with their CA to complete a £4.2million partnership project to refurbish the Market Place. The Town Council used their current and projected CIL monies (including some borrowing against projected CIL income) to contribute to a 50:50 basis to the project.</w:t>
            </w:r>
          </w:p>
        </w:tc>
      </w:tr>
    </w:tbl>
    <w:p w14:paraId="0AFA9823" w14:textId="388C8872" w:rsidR="003D3012" w:rsidRPr="00FC6B35" w:rsidRDefault="00E5712E" w:rsidP="001D6B65">
      <w:pPr>
        <w:jc w:val="both"/>
        <w:rPr>
          <w:sz w:val="22"/>
          <w:szCs w:val="22"/>
        </w:rPr>
      </w:pPr>
      <w:r>
        <w:rPr>
          <w:noProof/>
          <w:lang w:eastAsia="en-GB"/>
        </w:rPr>
        <w:lastRenderedPageBreak/>
        <mc:AlternateContent>
          <mc:Choice Requires="wps">
            <w:drawing>
              <wp:anchor distT="0" distB="0" distL="114300" distR="114300" simplePos="0" relativeHeight="251666432" behindDoc="0" locked="0" layoutInCell="1" allowOverlap="1" wp14:anchorId="025B5A67" wp14:editId="14B75AFB">
                <wp:simplePos x="0" y="0"/>
                <wp:positionH relativeFrom="column">
                  <wp:posOffset>-677924</wp:posOffset>
                </wp:positionH>
                <wp:positionV relativeFrom="paragraph">
                  <wp:posOffset>-373977</wp:posOffset>
                </wp:positionV>
                <wp:extent cx="7055485" cy="10187305"/>
                <wp:effectExtent l="19050" t="19050" r="12065" b="23495"/>
                <wp:wrapNone/>
                <wp:docPr id="7" name="Rectangle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9D6CD6EA-13C3-4336-AC1C-EACF15643509}"/>
                    </a:ext>
                  </a:extLst>
                </wp:docPr>
                <wp:cNvGraphicFramePr/>
                <a:graphic xmlns:a="http://schemas.openxmlformats.org/drawingml/2006/main">
                  <a:graphicData uri="http://schemas.microsoft.com/office/word/2010/wordprocessingShape">
                    <wps:wsp>
                      <wps:cNvSpPr/>
                      <wps:spPr>
                        <a:xfrm>
                          <a:off x="0" y="0"/>
                          <a:ext cx="7055485" cy="10187305"/>
                        </a:xfrm>
                        <a:prstGeom prst="rect">
                          <a:avLst/>
                        </a:prstGeom>
                        <a:noFill/>
                        <a:ln w="31750" cap="flat" cmpd="sng" algn="ctr">
                          <a:solidFill>
                            <a:srgbClr val="F15A29"/>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3.4pt;margin-top:-29.45pt;width:555.55pt;height:80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" filled="f" strokecolor="#f15a29" strokeweight="2.5pt"/>
            </w:pict>
          </mc:Fallback>
        </mc:AlternateContent>
      </w:r>
      <w:r w:rsidR="003D3012" w:rsidRPr="00FC6B35">
        <w:rPr>
          <w:sz w:val="22"/>
          <w:szCs w:val="22"/>
        </w:rPr>
        <w:t>Whilst CIL is often thought of as a fund to support planned development – you may also wish to invest your CIL monies in infrastructure that will incentivise future development.</w:t>
      </w:r>
    </w:p>
    <w:p w14:paraId="18B209A0" w14:textId="3D4FB925" w:rsidR="000652F5" w:rsidRPr="00FC6B35" w:rsidRDefault="000652F5" w:rsidP="001D6B65">
      <w:pPr>
        <w:jc w:val="both"/>
        <w:rPr>
          <w:sz w:val="22"/>
          <w:szCs w:val="22"/>
        </w:rPr>
      </w:pPr>
      <w:r w:rsidRPr="00FC6B35">
        <w:rPr>
          <w:sz w:val="22"/>
          <w:szCs w:val="22"/>
        </w:rPr>
        <w:t xml:space="preserve">Putting together an </w:t>
      </w:r>
      <w:r w:rsidR="00D72488" w:rsidRPr="00FC6B35">
        <w:rPr>
          <w:sz w:val="22"/>
          <w:szCs w:val="22"/>
        </w:rPr>
        <w:t>Infrastructure Investment/Delivery Plan (IP)</w:t>
      </w:r>
      <w:r w:rsidRPr="00FC6B35">
        <w:rPr>
          <w:sz w:val="22"/>
          <w:szCs w:val="22"/>
        </w:rPr>
        <w:t xml:space="preserve"> </w:t>
      </w:r>
      <w:r w:rsidR="00D72488" w:rsidRPr="00FC6B35">
        <w:rPr>
          <w:sz w:val="22"/>
          <w:szCs w:val="22"/>
        </w:rPr>
        <w:t xml:space="preserve">listing the priorities, </w:t>
      </w:r>
      <w:r w:rsidRPr="00FC6B35">
        <w:rPr>
          <w:sz w:val="22"/>
          <w:szCs w:val="22"/>
        </w:rPr>
        <w:t xml:space="preserve">will provide an evidence base for spending decisions, transparency for local communities and will help you to give the </w:t>
      </w:r>
      <w:r w:rsidR="003D3012" w:rsidRPr="00FC6B35">
        <w:rPr>
          <w:sz w:val="22"/>
          <w:szCs w:val="22"/>
        </w:rPr>
        <w:t>CA</w:t>
      </w:r>
      <w:r w:rsidR="00811BF6">
        <w:rPr>
          <w:sz w:val="22"/>
          <w:szCs w:val="22"/>
        </w:rPr>
        <w:t>s</w:t>
      </w:r>
      <w:r w:rsidRPr="00FC6B35">
        <w:rPr>
          <w:sz w:val="22"/>
          <w:szCs w:val="22"/>
        </w:rPr>
        <w:t xml:space="preserve"> a better understanding of your community priorities.</w:t>
      </w:r>
    </w:p>
    <w:p w14:paraId="7685447B" w14:textId="77777777" w:rsidR="00A37800" w:rsidRDefault="00A37800" w:rsidP="000652F5">
      <w:pPr>
        <w:rPr>
          <w:sz w:val="36"/>
          <w:szCs w:val="36"/>
        </w:rPr>
      </w:pPr>
    </w:p>
    <w:p w14:paraId="2B25E754" w14:textId="6853EBAD" w:rsidR="000652F5" w:rsidRPr="00804F6B" w:rsidRDefault="00804F6B" w:rsidP="000652F5">
      <w:pPr>
        <w:rPr>
          <w:sz w:val="36"/>
          <w:szCs w:val="36"/>
        </w:rPr>
      </w:pPr>
      <w:r>
        <w:rPr>
          <w:sz w:val="36"/>
          <w:szCs w:val="36"/>
        </w:rPr>
        <w:t>Spending deadline</w:t>
      </w:r>
    </w:p>
    <w:p w14:paraId="6E879DD9" w14:textId="78BF8048" w:rsidR="00804F6B" w:rsidRPr="00FC6B35" w:rsidRDefault="00804F6B" w:rsidP="001D6B65">
      <w:pPr>
        <w:jc w:val="both"/>
        <w:rPr>
          <w:sz w:val="22"/>
          <w:szCs w:val="22"/>
        </w:rPr>
      </w:pPr>
      <w:r w:rsidRPr="00FC6B35">
        <w:rPr>
          <w:sz w:val="22"/>
          <w:szCs w:val="22"/>
        </w:rPr>
        <w:t xml:space="preserve">The CA will pay out CIL monies collected to your TPC at regular intervals. </w:t>
      </w:r>
    </w:p>
    <w:p w14:paraId="4C2E7D1D" w14:textId="055D002F" w:rsidR="000652F5" w:rsidRPr="00FC6B35" w:rsidRDefault="000652F5" w:rsidP="001D6B65">
      <w:pPr>
        <w:jc w:val="both"/>
        <w:rPr>
          <w:sz w:val="22"/>
          <w:szCs w:val="22"/>
        </w:rPr>
      </w:pPr>
      <w:r w:rsidRPr="00FC6B35">
        <w:rPr>
          <w:sz w:val="22"/>
          <w:szCs w:val="22"/>
        </w:rPr>
        <w:t xml:space="preserve">The monies should be spent within 5 years of receipt. If </w:t>
      </w:r>
      <w:r w:rsidR="00804F6B" w:rsidRPr="00FC6B35">
        <w:rPr>
          <w:sz w:val="22"/>
          <w:szCs w:val="22"/>
        </w:rPr>
        <w:t>they are</w:t>
      </w:r>
      <w:r w:rsidRPr="00FC6B35">
        <w:rPr>
          <w:sz w:val="22"/>
          <w:szCs w:val="22"/>
        </w:rPr>
        <w:t xml:space="preserve"> not, or </w:t>
      </w:r>
      <w:r w:rsidR="00804F6B" w:rsidRPr="00FC6B35">
        <w:rPr>
          <w:sz w:val="22"/>
          <w:szCs w:val="22"/>
        </w:rPr>
        <w:t>they are</w:t>
      </w:r>
      <w:r w:rsidRPr="00FC6B35">
        <w:rPr>
          <w:sz w:val="22"/>
          <w:szCs w:val="22"/>
        </w:rPr>
        <w:t xml:space="preserve"> used inappropriately, then the CA can recover the monies.</w:t>
      </w:r>
    </w:p>
    <w:p w14:paraId="59117606" w14:textId="77777777" w:rsidR="00804F6B" w:rsidRDefault="00804F6B" w:rsidP="000652F5">
      <w:pPr>
        <w:rPr>
          <w:sz w:val="36"/>
          <w:szCs w:val="36"/>
        </w:rPr>
      </w:pPr>
    </w:p>
    <w:p w14:paraId="2398D99B" w14:textId="52B2D783" w:rsidR="00804F6B" w:rsidRDefault="000652F5" w:rsidP="000652F5">
      <w:pPr>
        <w:rPr>
          <w:sz w:val="36"/>
          <w:szCs w:val="36"/>
        </w:rPr>
      </w:pPr>
      <w:r w:rsidRPr="000652F5">
        <w:rPr>
          <w:sz w:val="36"/>
          <w:szCs w:val="36"/>
        </w:rPr>
        <w:t>Reporting requirements</w:t>
      </w:r>
    </w:p>
    <w:p w14:paraId="3202924D" w14:textId="4B7ADE6F" w:rsidR="007D19C0" w:rsidRPr="00FC6B35" w:rsidRDefault="007D19C0" w:rsidP="001D6B65">
      <w:pPr>
        <w:jc w:val="both"/>
        <w:rPr>
          <w:sz w:val="22"/>
          <w:szCs w:val="22"/>
        </w:rPr>
      </w:pPr>
      <w:r w:rsidRPr="00FC6B35">
        <w:rPr>
          <w:sz w:val="22"/>
          <w:szCs w:val="22"/>
        </w:rPr>
        <w:t>You must prepare a report for any financial year in which you receive CIL receipts</w:t>
      </w:r>
      <w:r w:rsidRPr="00FC6B35">
        <w:rPr>
          <w:sz w:val="22"/>
          <w:szCs w:val="22"/>
          <w:vertAlign w:val="superscript"/>
        </w:rPr>
        <w:footnoteReference w:id="5"/>
      </w:r>
      <w:r w:rsidRPr="00FC6B35">
        <w:rPr>
          <w:sz w:val="22"/>
          <w:szCs w:val="22"/>
        </w:rPr>
        <w:t>.</w:t>
      </w:r>
    </w:p>
    <w:p w14:paraId="3BAFBC95" w14:textId="09FF5D6C" w:rsidR="007D19C0" w:rsidRPr="00FC6B35" w:rsidRDefault="007D19C0" w:rsidP="001D6B65">
      <w:pPr>
        <w:jc w:val="both"/>
        <w:rPr>
          <w:sz w:val="22"/>
          <w:szCs w:val="22"/>
        </w:rPr>
      </w:pPr>
      <w:r w:rsidRPr="00FC6B35">
        <w:rPr>
          <w:sz w:val="22"/>
          <w:szCs w:val="22"/>
        </w:rPr>
        <w:t>For that year, the report should include details of:</w:t>
      </w:r>
    </w:p>
    <w:p w14:paraId="4C16C5E8" w14:textId="044A5D08" w:rsidR="007D19C0" w:rsidRPr="00FC6B35" w:rsidRDefault="007D19C0" w:rsidP="001D6B65">
      <w:pPr>
        <w:pStyle w:val="ListParagraph"/>
        <w:numPr>
          <w:ilvl w:val="0"/>
          <w:numId w:val="7"/>
        </w:numPr>
        <w:jc w:val="both"/>
        <w:rPr>
          <w:sz w:val="22"/>
          <w:szCs w:val="22"/>
        </w:rPr>
      </w:pPr>
      <w:r w:rsidRPr="00FC6B35">
        <w:rPr>
          <w:sz w:val="22"/>
          <w:szCs w:val="22"/>
        </w:rPr>
        <w:t xml:space="preserve">total CIL receipts; </w:t>
      </w:r>
    </w:p>
    <w:p w14:paraId="17C28E1E" w14:textId="77777777" w:rsidR="007D19C0" w:rsidRPr="00FC6B35" w:rsidRDefault="007D19C0" w:rsidP="001D6B65">
      <w:pPr>
        <w:pStyle w:val="ListParagraph"/>
        <w:numPr>
          <w:ilvl w:val="0"/>
          <w:numId w:val="7"/>
        </w:numPr>
        <w:jc w:val="both"/>
        <w:rPr>
          <w:sz w:val="22"/>
          <w:szCs w:val="22"/>
        </w:rPr>
      </w:pPr>
      <w:r w:rsidRPr="00FC6B35">
        <w:rPr>
          <w:sz w:val="22"/>
          <w:szCs w:val="22"/>
        </w:rPr>
        <w:t>total CIL expenditure;</w:t>
      </w:r>
    </w:p>
    <w:p w14:paraId="659DDF09" w14:textId="40A51279" w:rsidR="007D19C0" w:rsidRPr="00FC6B35" w:rsidRDefault="007D19C0" w:rsidP="001D6B65">
      <w:pPr>
        <w:pStyle w:val="ListParagraph"/>
        <w:numPr>
          <w:ilvl w:val="0"/>
          <w:numId w:val="7"/>
        </w:numPr>
        <w:jc w:val="both"/>
        <w:rPr>
          <w:sz w:val="22"/>
          <w:szCs w:val="22"/>
        </w:rPr>
      </w:pPr>
      <w:r w:rsidRPr="00FC6B35">
        <w:rPr>
          <w:sz w:val="22"/>
          <w:szCs w:val="22"/>
        </w:rPr>
        <w:t xml:space="preserve">a summary of what the CIL was spent on; </w:t>
      </w:r>
    </w:p>
    <w:p w14:paraId="366B0AF2" w14:textId="12A3B59E" w:rsidR="007D19C0" w:rsidRPr="00FC6B35" w:rsidRDefault="007D19C0" w:rsidP="001D6B65">
      <w:pPr>
        <w:pStyle w:val="ListParagraph"/>
        <w:numPr>
          <w:ilvl w:val="0"/>
          <w:numId w:val="7"/>
        </w:numPr>
        <w:jc w:val="both"/>
        <w:rPr>
          <w:sz w:val="22"/>
          <w:szCs w:val="22"/>
        </w:rPr>
      </w:pPr>
      <w:r w:rsidRPr="00FC6B35">
        <w:rPr>
          <w:sz w:val="22"/>
          <w:szCs w:val="22"/>
        </w:rPr>
        <w:t>Details of any notice served by the CA for failure to use CIL monies within the required 5</w:t>
      </w:r>
      <w:r w:rsidR="00811BF6">
        <w:rPr>
          <w:sz w:val="22"/>
          <w:szCs w:val="22"/>
        </w:rPr>
        <w:t xml:space="preserve"> </w:t>
      </w:r>
      <w:r w:rsidRPr="00FC6B35">
        <w:rPr>
          <w:sz w:val="22"/>
          <w:szCs w:val="22"/>
        </w:rPr>
        <w:t>year period or appropriately;</w:t>
      </w:r>
    </w:p>
    <w:p w14:paraId="51415C6B" w14:textId="7EFEFF57" w:rsidR="007D19C0" w:rsidRPr="00FC6B35" w:rsidRDefault="007D19C0" w:rsidP="001D6B65">
      <w:pPr>
        <w:pStyle w:val="ListParagraph"/>
        <w:numPr>
          <w:ilvl w:val="0"/>
          <w:numId w:val="7"/>
        </w:numPr>
        <w:jc w:val="both"/>
        <w:rPr>
          <w:sz w:val="22"/>
          <w:szCs w:val="22"/>
        </w:rPr>
      </w:pPr>
      <w:r w:rsidRPr="00FC6B35">
        <w:rPr>
          <w:sz w:val="22"/>
          <w:szCs w:val="22"/>
        </w:rPr>
        <w:t>the total amount of receipts retained at the end of th</w:t>
      </w:r>
      <w:r w:rsidR="00F93100" w:rsidRPr="00FC6B35">
        <w:rPr>
          <w:sz w:val="22"/>
          <w:szCs w:val="22"/>
        </w:rPr>
        <w:t>e financial</w:t>
      </w:r>
      <w:r w:rsidRPr="00FC6B35">
        <w:rPr>
          <w:sz w:val="22"/>
          <w:szCs w:val="22"/>
        </w:rPr>
        <w:t xml:space="preserve"> year (from that year and previous years). </w:t>
      </w:r>
    </w:p>
    <w:p w14:paraId="0CE635B4" w14:textId="77777777" w:rsidR="007D19C0" w:rsidRPr="00FC6B35" w:rsidRDefault="007D19C0" w:rsidP="001D6B65">
      <w:pPr>
        <w:jc w:val="both"/>
        <w:rPr>
          <w:sz w:val="22"/>
          <w:szCs w:val="22"/>
        </w:rPr>
      </w:pPr>
      <w:r w:rsidRPr="00FC6B35">
        <w:rPr>
          <w:sz w:val="22"/>
          <w:szCs w:val="22"/>
        </w:rPr>
        <w:t>These reports can be combined with other reports already produced by your TPC.</w:t>
      </w:r>
    </w:p>
    <w:p w14:paraId="39A9912D" w14:textId="77777777" w:rsidR="007D19C0" w:rsidRPr="00FC6B35" w:rsidRDefault="007D19C0" w:rsidP="001D6B65">
      <w:pPr>
        <w:jc w:val="both"/>
        <w:rPr>
          <w:sz w:val="22"/>
          <w:szCs w:val="22"/>
        </w:rPr>
      </w:pPr>
      <w:r w:rsidRPr="00FC6B35">
        <w:rPr>
          <w:sz w:val="22"/>
          <w:szCs w:val="22"/>
        </w:rPr>
        <w:t xml:space="preserve">The report should be published on your website (or on the or the CA’s website if you do not have one). </w:t>
      </w:r>
    </w:p>
    <w:p w14:paraId="013EE394" w14:textId="37EC7C47" w:rsidR="00564309" w:rsidRDefault="007D19C0" w:rsidP="001D6B65">
      <w:pPr>
        <w:jc w:val="both"/>
        <w:rPr>
          <w:sz w:val="22"/>
          <w:szCs w:val="22"/>
        </w:rPr>
      </w:pPr>
      <w:r w:rsidRPr="00FC6B35">
        <w:rPr>
          <w:sz w:val="22"/>
          <w:szCs w:val="22"/>
        </w:rPr>
        <w:t xml:space="preserve">A copy of the report should be sent to the CA (from which you received the CIL monies) </w:t>
      </w:r>
      <w:r w:rsidRPr="007D19C0">
        <w:rPr>
          <w:sz w:val="22"/>
          <w:szCs w:val="22"/>
        </w:rPr>
        <w:t>no later than 31st December following</w:t>
      </w:r>
      <w:r w:rsidRPr="00FC6B35">
        <w:rPr>
          <w:sz w:val="22"/>
          <w:szCs w:val="22"/>
        </w:rPr>
        <w:t xml:space="preserve"> the relevant financial year, unless the report will be published on the CA’s website.</w:t>
      </w:r>
    </w:p>
    <w:p w14:paraId="2D78AF46" w14:textId="77777777" w:rsidR="00C00987" w:rsidRDefault="00C00987" w:rsidP="001D6B65">
      <w:pPr>
        <w:jc w:val="both"/>
        <w:rPr>
          <w:sz w:val="22"/>
          <w:szCs w:val="22"/>
        </w:rPr>
      </w:pPr>
    </w:p>
    <w:tbl>
      <w:tblPr>
        <w:tblW w:w="9761"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1"/>
      </w:tblGrid>
      <w:tr w:rsidR="00A37800" w14:paraId="194B6C6F" w14:textId="77777777" w:rsidTr="00A37800">
        <w:trPr>
          <w:trHeight w:val="303"/>
        </w:trPr>
        <w:tc>
          <w:tcPr>
            <w:tcW w:w="9761" w:type="dxa"/>
          </w:tcPr>
          <w:p w14:paraId="5E7067D0" w14:textId="33F9D66C" w:rsidR="00A37800" w:rsidRDefault="00A37800" w:rsidP="002F4C9C">
            <w:pPr>
              <w:ind w:left="120"/>
              <w:rPr>
                <w:noProof/>
                <w:sz w:val="18"/>
                <w:szCs w:val="18"/>
                <w:u w:val="single"/>
              </w:rPr>
            </w:pPr>
            <w:r w:rsidRPr="00A37800">
              <w:rPr>
                <w:noProof/>
                <w:sz w:val="18"/>
                <w:szCs w:val="18"/>
                <w:u w:val="single"/>
              </w:rPr>
              <w:t>Note:</w:t>
            </w:r>
            <w:r>
              <w:rPr>
                <w:noProof/>
                <w:sz w:val="18"/>
                <w:szCs w:val="18"/>
                <w:u w:val="single"/>
              </w:rPr>
              <w:t xml:space="preserve"> </w:t>
            </w:r>
            <w:r w:rsidRPr="00A37800">
              <w:rPr>
                <w:noProof/>
                <w:sz w:val="18"/>
                <w:szCs w:val="18"/>
              </w:rPr>
              <w:t>This is a general b</w:t>
            </w:r>
            <w:bookmarkStart w:id="0" w:name="_GoBack"/>
            <w:bookmarkEnd w:id="0"/>
            <w:r w:rsidRPr="00A37800">
              <w:rPr>
                <w:noProof/>
                <w:sz w:val="18"/>
                <w:szCs w:val="18"/>
              </w:rPr>
              <w:t>riefing note on the operation of CIL for TP</w:t>
            </w:r>
            <w:r w:rsidR="00811BF6">
              <w:rPr>
                <w:noProof/>
                <w:sz w:val="18"/>
                <w:szCs w:val="18"/>
              </w:rPr>
              <w:t>C</w:t>
            </w:r>
            <w:r w:rsidR="002F4C9C">
              <w:rPr>
                <w:noProof/>
                <w:sz w:val="18"/>
                <w:szCs w:val="18"/>
              </w:rPr>
              <w:t>s who are advised to obtain</w:t>
            </w:r>
            <w:r w:rsidRPr="00A37800">
              <w:rPr>
                <w:noProof/>
                <w:sz w:val="18"/>
                <w:szCs w:val="18"/>
              </w:rPr>
              <w:t xml:space="preserve"> independent legal advi</w:t>
            </w:r>
            <w:r w:rsidR="002F4C9C">
              <w:rPr>
                <w:noProof/>
                <w:sz w:val="18"/>
                <w:szCs w:val="18"/>
              </w:rPr>
              <w:t>c</w:t>
            </w:r>
            <w:r w:rsidRPr="00A37800">
              <w:rPr>
                <w:noProof/>
                <w:sz w:val="18"/>
                <w:szCs w:val="18"/>
              </w:rPr>
              <w:t xml:space="preserve">e on matters that can lawfully be funded from CIL receipts (particularly if they have previously had Town/Parish precept </w:t>
            </w:r>
            <w:r>
              <w:rPr>
                <w:noProof/>
                <w:sz w:val="18"/>
                <w:szCs w:val="18"/>
              </w:rPr>
              <w:t>funding).</w:t>
            </w:r>
          </w:p>
        </w:tc>
      </w:tr>
    </w:tbl>
    <w:p w14:paraId="6D830DE2" w14:textId="002AD3EE" w:rsidR="00564309" w:rsidRPr="00862ACD" w:rsidRDefault="00862ACD" w:rsidP="00862ACD">
      <w:pPr>
        <w:jc w:val="right"/>
        <w:rPr>
          <w:b/>
          <w:noProof/>
          <w:sz w:val="16"/>
          <w:szCs w:val="18"/>
        </w:rPr>
      </w:pPr>
      <w:r w:rsidRPr="00862ACD">
        <w:rPr>
          <w:b/>
          <w:noProof/>
          <w:sz w:val="16"/>
          <w:szCs w:val="18"/>
        </w:rPr>
        <w:t>© Published April 2019</w:t>
      </w:r>
    </w:p>
    <w:sectPr w:rsidR="00564309" w:rsidRPr="00862ACD" w:rsidSect="008B3B6C">
      <w:headerReference w:type="default" r:id="rId11"/>
      <w:footerReference w:type="default" r:id="rId12"/>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C8CA9" w14:textId="77777777" w:rsidR="00F916F1" w:rsidRDefault="00F916F1" w:rsidP="00564309">
      <w:pPr>
        <w:spacing w:before="0" w:after="0" w:line="240" w:lineRule="auto"/>
      </w:pPr>
      <w:r>
        <w:separator/>
      </w:r>
    </w:p>
  </w:endnote>
  <w:endnote w:type="continuationSeparator" w:id="0">
    <w:p w14:paraId="3B37158F" w14:textId="77777777" w:rsidR="00F916F1" w:rsidRDefault="00F916F1" w:rsidP="0056430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442081"/>
      <w:docPartObj>
        <w:docPartGallery w:val="Page Numbers (Bottom of Page)"/>
        <w:docPartUnique/>
      </w:docPartObj>
    </w:sdtPr>
    <w:sdtEndPr>
      <w:rPr>
        <w:noProof/>
      </w:rPr>
    </w:sdtEndPr>
    <w:sdtContent>
      <w:p w14:paraId="64D78252" w14:textId="7FFCBACC" w:rsidR="00142EBD" w:rsidRDefault="001E573B">
        <w:pPr>
          <w:pStyle w:val="Footer"/>
          <w:jc w:val="right"/>
        </w:pPr>
        <w:r>
          <w:rPr>
            <w:noProof/>
            <w:lang w:eastAsia="en-GB"/>
          </w:rPr>
          <w:drawing>
            <wp:anchor distT="0" distB="0" distL="114300" distR="114300" simplePos="0" relativeHeight="251658240" behindDoc="0" locked="0" layoutInCell="1" allowOverlap="1" wp14:anchorId="7EE95A31" wp14:editId="4C3DBE85">
              <wp:simplePos x="0" y="0"/>
              <wp:positionH relativeFrom="column">
                <wp:posOffset>-466725</wp:posOffset>
              </wp:positionH>
              <wp:positionV relativeFrom="paragraph">
                <wp:posOffset>22746</wp:posOffset>
              </wp:positionV>
              <wp:extent cx="425003" cy="32649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F.jpg"/>
                      <pic:cNvPicPr/>
                    </pic:nvPicPr>
                    <pic:blipFill>
                      <a:blip r:embed="rId1">
                        <a:extLst>
                          <a:ext uri="{28A0092B-C50C-407E-A947-70E740481C1C}">
                            <a14:useLocalDpi xmlns:a14="http://schemas.microsoft.com/office/drawing/2010/main" val="0"/>
                          </a:ext>
                        </a:extLst>
                      </a:blip>
                      <a:stretch>
                        <a:fillRect/>
                      </a:stretch>
                    </pic:blipFill>
                    <pic:spPr>
                      <a:xfrm>
                        <a:off x="0" y="0"/>
                        <a:ext cx="425003" cy="326492"/>
                      </a:xfrm>
                      <a:prstGeom prst="rect">
                        <a:avLst/>
                      </a:prstGeom>
                    </pic:spPr>
                  </pic:pic>
                </a:graphicData>
              </a:graphic>
              <wp14:sizeRelH relativeFrom="margin">
                <wp14:pctWidth>0</wp14:pctWidth>
              </wp14:sizeRelH>
              <wp14:sizeRelV relativeFrom="margin">
                <wp14:pctHeight>0</wp14:pctHeight>
              </wp14:sizeRelV>
            </wp:anchor>
          </w:drawing>
        </w:r>
        <w:r w:rsidR="00142EBD">
          <w:fldChar w:fldCharType="begin"/>
        </w:r>
        <w:r w:rsidR="00142EBD">
          <w:instrText xml:space="preserve"> PAGE   \* MERGEFORMAT </w:instrText>
        </w:r>
        <w:r w:rsidR="00142EBD">
          <w:fldChar w:fldCharType="separate"/>
        </w:r>
        <w:r w:rsidR="002F7CC9">
          <w:rPr>
            <w:noProof/>
          </w:rPr>
          <w:t>2</w:t>
        </w:r>
        <w:r w:rsidR="00142EBD">
          <w:rPr>
            <w:noProof/>
          </w:rPr>
          <w:fldChar w:fldCharType="end"/>
        </w:r>
      </w:p>
    </w:sdtContent>
  </w:sdt>
  <w:p w14:paraId="428223BB" w14:textId="7D1C2047" w:rsidR="00142EBD" w:rsidRDefault="00142E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77152" w14:textId="77777777" w:rsidR="00F916F1" w:rsidRDefault="00F916F1" w:rsidP="00564309">
      <w:pPr>
        <w:spacing w:before="0" w:after="0" w:line="240" w:lineRule="auto"/>
      </w:pPr>
      <w:r>
        <w:separator/>
      </w:r>
    </w:p>
  </w:footnote>
  <w:footnote w:type="continuationSeparator" w:id="0">
    <w:p w14:paraId="3C96E9FA" w14:textId="77777777" w:rsidR="00F916F1" w:rsidRDefault="00F916F1" w:rsidP="00564309">
      <w:pPr>
        <w:spacing w:before="0" w:after="0" w:line="240" w:lineRule="auto"/>
      </w:pPr>
      <w:r>
        <w:continuationSeparator/>
      </w:r>
    </w:p>
  </w:footnote>
  <w:footnote w:id="1">
    <w:p w14:paraId="3686CCAD" w14:textId="78D6E870" w:rsidR="000652F5" w:rsidRPr="000E3BEF" w:rsidRDefault="000652F5">
      <w:pPr>
        <w:pStyle w:val="FootnoteText"/>
        <w:rPr>
          <w:sz w:val="16"/>
          <w:szCs w:val="16"/>
        </w:rPr>
      </w:pPr>
      <w:r w:rsidRPr="000E3BEF">
        <w:rPr>
          <w:rStyle w:val="FootnoteReference"/>
          <w:sz w:val="16"/>
          <w:szCs w:val="16"/>
        </w:rPr>
        <w:footnoteRef/>
      </w:r>
      <w:r w:rsidRPr="000E3BEF">
        <w:rPr>
          <w:sz w:val="16"/>
          <w:szCs w:val="16"/>
        </w:rPr>
        <w:t xml:space="preserve"> In London, the boroughs collect the levy on behalf of the Mayor.</w:t>
      </w:r>
    </w:p>
  </w:footnote>
  <w:footnote w:id="2">
    <w:p w14:paraId="2BCCCE59" w14:textId="21B9C673" w:rsidR="000652F5" w:rsidRDefault="000652F5">
      <w:pPr>
        <w:pStyle w:val="FootnoteText"/>
      </w:pPr>
      <w:r w:rsidRPr="000E3BEF">
        <w:rPr>
          <w:rStyle w:val="FootnoteReference"/>
          <w:sz w:val="16"/>
          <w:szCs w:val="16"/>
        </w:rPr>
        <w:footnoteRef/>
      </w:r>
      <w:r w:rsidRPr="000E3BEF">
        <w:rPr>
          <w:sz w:val="16"/>
          <w:szCs w:val="16"/>
        </w:rPr>
        <w:t xml:space="preserve"> Where there is no TPC in an area, the CA will retain 15% as the NP and will consult with local communities as to spending priorities.</w:t>
      </w:r>
    </w:p>
  </w:footnote>
  <w:footnote w:id="3">
    <w:p w14:paraId="30B5A6DF" w14:textId="77777777" w:rsidR="00804F6B" w:rsidRPr="000E3BEF" w:rsidRDefault="00804F6B" w:rsidP="00804F6B">
      <w:pPr>
        <w:pStyle w:val="FootnoteText"/>
        <w:rPr>
          <w:sz w:val="16"/>
          <w:szCs w:val="16"/>
        </w:rPr>
      </w:pPr>
      <w:r w:rsidRPr="000E3BEF">
        <w:rPr>
          <w:rStyle w:val="FootnoteReference"/>
          <w:sz w:val="16"/>
          <w:szCs w:val="16"/>
        </w:rPr>
        <w:footnoteRef/>
      </w:r>
      <w:r w:rsidRPr="000E3BEF">
        <w:rPr>
          <w:sz w:val="16"/>
          <w:szCs w:val="16"/>
        </w:rPr>
        <w:t xml:space="preserve"> The 2010 Regs 59C</w:t>
      </w:r>
    </w:p>
  </w:footnote>
  <w:footnote w:id="4">
    <w:p w14:paraId="07ED9143" w14:textId="4264FE0F" w:rsidR="000652F5" w:rsidRDefault="000652F5" w:rsidP="000652F5">
      <w:pPr>
        <w:pStyle w:val="FootnoteText"/>
      </w:pPr>
      <w:r w:rsidRPr="000E3BEF">
        <w:rPr>
          <w:rStyle w:val="FootnoteReference"/>
          <w:sz w:val="16"/>
          <w:szCs w:val="16"/>
        </w:rPr>
        <w:footnoteRef/>
      </w:r>
      <w:r w:rsidRPr="000E3BEF">
        <w:rPr>
          <w:sz w:val="16"/>
          <w:szCs w:val="16"/>
        </w:rPr>
        <w:t xml:space="preserve"> Localism Act 2011 Part 1</w:t>
      </w:r>
    </w:p>
  </w:footnote>
  <w:footnote w:id="5">
    <w:p w14:paraId="50BC617C" w14:textId="77777777" w:rsidR="007D19C0" w:rsidRPr="000E3BEF" w:rsidRDefault="007D19C0" w:rsidP="007D19C0">
      <w:pPr>
        <w:pStyle w:val="FootnoteText"/>
        <w:rPr>
          <w:sz w:val="16"/>
          <w:szCs w:val="16"/>
        </w:rPr>
      </w:pPr>
      <w:r w:rsidRPr="000E3BEF">
        <w:rPr>
          <w:rStyle w:val="FootnoteReference"/>
          <w:sz w:val="16"/>
          <w:szCs w:val="16"/>
        </w:rPr>
        <w:footnoteRef/>
      </w:r>
      <w:r w:rsidRPr="000E3BEF">
        <w:rPr>
          <w:sz w:val="16"/>
          <w:szCs w:val="16"/>
        </w:rPr>
        <w:t xml:space="preserve"> The 2010 Regs 62A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47D91" w14:textId="124DC971" w:rsidR="004B3216" w:rsidRDefault="000440B5" w:rsidP="000440B5">
    <w:pPr>
      <w:pStyle w:val="Header"/>
      <w:tabs>
        <w:tab w:val="clear" w:pos="4513"/>
        <w:tab w:val="clear" w:pos="9026"/>
        <w:tab w:val="left" w:pos="50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CB3"/>
    <w:multiLevelType w:val="hybridMultilevel"/>
    <w:tmpl w:val="2CBCB484"/>
    <w:lvl w:ilvl="0" w:tplc="BBBE135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803D0C"/>
    <w:multiLevelType w:val="hybridMultilevel"/>
    <w:tmpl w:val="D0F6050A"/>
    <w:lvl w:ilvl="0" w:tplc="D67E4F26">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5C2A80"/>
    <w:multiLevelType w:val="hybridMultilevel"/>
    <w:tmpl w:val="B5B6769E"/>
    <w:lvl w:ilvl="0" w:tplc="756AC128">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CC0C79"/>
    <w:multiLevelType w:val="hybridMultilevel"/>
    <w:tmpl w:val="978A18D8"/>
    <w:lvl w:ilvl="0" w:tplc="8DC6765E">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9B07D6"/>
    <w:multiLevelType w:val="hybridMultilevel"/>
    <w:tmpl w:val="611CE156"/>
    <w:lvl w:ilvl="0" w:tplc="4072AC3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F00464"/>
    <w:multiLevelType w:val="hybridMultilevel"/>
    <w:tmpl w:val="1B587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DC30871"/>
    <w:multiLevelType w:val="hybridMultilevel"/>
    <w:tmpl w:val="A8C4D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41C7DD4"/>
    <w:multiLevelType w:val="hybridMultilevel"/>
    <w:tmpl w:val="E6026378"/>
    <w:lvl w:ilvl="0" w:tplc="EE48CC1C">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51B0887"/>
    <w:multiLevelType w:val="multilevel"/>
    <w:tmpl w:val="A94C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59540ED"/>
    <w:multiLevelType w:val="hybridMultilevel"/>
    <w:tmpl w:val="10529576"/>
    <w:lvl w:ilvl="0" w:tplc="AF7EE440">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7"/>
  </w:num>
  <w:num w:numId="6">
    <w:abstractNumId w:val="8"/>
  </w:num>
  <w:num w:numId="7">
    <w:abstractNumId w:val="3"/>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309"/>
    <w:rsid w:val="00021D38"/>
    <w:rsid w:val="000440B5"/>
    <w:rsid w:val="00044201"/>
    <w:rsid w:val="000652F5"/>
    <w:rsid w:val="000E3BEF"/>
    <w:rsid w:val="00142EBD"/>
    <w:rsid w:val="001C685F"/>
    <w:rsid w:val="001D6B65"/>
    <w:rsid w:val="001E573B"/>
    <w:rsid w:val="002E405C"/>
    <w:rsid w:val="002F4C9C"/>
    <w:rsid w:val="002F72E4"/>
    <w:rsid w:val="002F7CC9"/>
    <w:rsid w:val="00335FD1"/>
    <w:rsid w:val="003D3012"/>
    <w:rsid w:val="003E42CD"/>
    <w:rsid w:val="003F49DC"/>
    <w:rsid w:val="0045289B"/>
    <w:rsid w:val="004B3216"/>
    <w:rsid w:val="0056374E"/>
    <w:rsid w:val="00564309"/>
    <w:rsid w:val="00570416"/>
    <w:rsid w:val="005C09E7"/>
    <w:rsid w:val="005F3B66"/>
    <w:rsid w:val="0061190D"/>
    <w:rsid w:val="00711B3C"/>
    <w:rsid w:val="007B75EE"/>
    <w:rsid w:val="007D19C0"/>
    <w:rsid w:val="00804F6B"/>
    <w:rsid w:val="00811BF6"/>
    <w:rsid w:val="0083001B"/>
    <w:rsid w:val="008561F2"/>
    <w:rsid w:val="00862ACD"/>
    <w:rsid w:val="008B3B6C"/>
    <w:rsid w:val="00987E0A"/>
    <w:rsid w:val="00990BFE"/>
    <w:rsid w:val="009C4916"/>
    <w:rsid w:val="00A177F3"/>
    <w:rsid w:val="00A37800"/>
    <w:rsid w:val="00AD380B"/>
    <w:rsid w:val="00BF147B"/>
    <w:rsid w:val="00C00987"/>
    <w:rsid w:val="00C04D06"/>
    <w:rsid w:val="00C55BFC"/>
    <w:rsid w:val="00CD7EC8"/>
    <w:rsid w:val="00CE1862"/>
    <w:rsid w:val="00D120CA"/>
    <w:rsid w:val="00D214CA"/>
    <w:rsid w:val="00D72488"/>
    <w:rsid w:val="00DC407F"/>
    <w:rsid w:val="00DC4BF9"/>
    <w:rsid w:val="00E5712E"/>
    <w:rsid w:val="00EC68B8"/>
    <w:rsid w:val="00EF68F2"/>
    <w:rsid w:val="00F916F1"/>
    <w:rsid w:val="00F93100"/>
    <w:rsid w:val="00FC6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7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09"/>
  </w:style>
  <w:style w:type="paragraph" w:styleId="Heading1">
    <w:name w:val="heading 1"/>
    <w:basedOn w:val="Normal"/>
    <w:next w:val="Normal"/>
    <w:link w:val="Heading1Char"/>
    <w:uiPriority w:val="9"/>
    <w:qFormat/>
    <w:rsid w:val="00564309"/>
    <w:pPr>
      <w:pBdr>
        <w:top w:val="single" w:sz="24" w:space="0" w:color="F0A22E" w:themeColor="accent1"/>
        <w:left w:val="single" w:sz="24" w:space="0" w:color="F0A22E" w:themeColor="accent1"/>
        <w:bottom w:val="single" w:sz="24" w:space="0" w:color="F0A22E" w:themeColor="accent1"/>
        <w:right w:val="single" w:sz="24" w:space="0" w:color="F0A22E" w:themeColor="accent1"/>
      </w:pBdr>
      <w:shd w:val="clear" w:color="auto" w:fill="F0A22E"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564309"/>
    <w:pPr>
      <w:pBdr>
        <w:top w:val="single" w:sz="24" w:space="0" w:color="FCECD5" w:themeColor="accent1" w:themeTint="33"/>
        <w:left w:val="single" w:sz="24" w:space="0" w:color="FCECD5" w:themeColor="accent1" w:themeTint="33"/>
        <w:bottom w:val="single" w:sz="24" w:space="0" w:color="FCECD5" w:themeColor="accent1" w:themeTint="33"/>
        <w:right w:val="single" w:sz="24" w:space="0" w:color="FCECD5" w:themeColor="accent1" w:themeTint="33"/>
      </w:pBdr>
      <w:shd w:val="clear" w:color="auto" w:fill="FCECD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564309"/>
    <w:pPr>
      <w:pBdr>
        <w:top w:val="single" w:sz="6" w:space="2" w:color="F0A22E" w:themeColor="accent1"/>
      </w:pBdr>
      <w:spacing w:before="300" w:after="0"/>
      <w:outlineLvl w:val="2"/>
    </w:pPr>
    <w:rPr>
      <w:caps/>
      <w:color w:val="845209" w:themeColor="accent1" w:themeShade="7F"/>
      <w:spacing w:val="15"/>
    </w:rPr>
  </w:style>
  <w:style w:type="paragraph" w:styleId="Heading4">
    <w:name w:val="heading 4"/>
    <w:basedOn w:val="Normal"/>
    <w:next w:val="Normal"/>
    <w:link w:val="Heading4Char"/>
    <w:uiPriority w:val="9"/>
    <w:semiHidden/>
    <w:unhideWhenUsed/>
    <w:qFormat/>
    <w:rsid w:val="00564309"/>
    <w:pPr>
      <w:pBdr>
        <w:top w:val="dotted" w:sz="6" w:space="2" w:color="F0A22E" w:themeColor="accent1"/>
      </w:pBdr>
      <w:spacing w:before="200" w:after="0"/>
      <w:outlineLvl w:val="3"/>
    </w:pPr>
    <w:rPr>
      <w:caps/>
      <w:color w:val="C77C0E" w:themeColor="accent1" w:themeShade="BF"/>
      <w:spacing w:val="10"/>
    </w:rPr>
  </w:style>
  <w:style w:type="paragraph" w:styleId="Heading5">
    <w:name w:val="heading 5"/>
    <w:basedOn w:val="Normal"/>
    <w:next w:val="Normal"/>
    <w:link w:val="Heading5Char"/>
    <w:uiPriority w:val="9"/>
    <w:semiHidden/>
    <w:unhideWhenUsed/>
    <w:qFormat/>
    <w:rsid w:val="00564309"/>
    <w:pPr>
      <w:pBdr>
        <w:bottom w:val="single" w:sz="6" w:space="1" w:color="F0A22E" w:themeColor="accent1"/>
      </w:pBdr>
      <w:spacing w:before="200" w:after="0"/>
      <w:outlineLvl w:val="4"/>
    </w:pPr>
    <w:rPr>
      <w:caps/>
      <w:color w:val="C77C0E" w:themeColor="accent1" w:themeShade="BF"/>
      <w:spacing w:val="10"/>
    </w:rPr>
  </w:style>
  <w:style w:type="paragraph" w:styleId="Heading6">
    <w:name w:val="heading 6"/>
    <w:basedOn w:val="Normal"/>
    <w:next w:val="Normal"/>
    <w:link w:val="Heading6Char"/>
    <w:uiPriority w:val="9"/>
    <w:semiHidden/>
    <w:unhideWhenUsed/>
    <w:qFormat/>
    <w:rsid w:val="00564309"/>
    <w:pPr>
      <w:pBdr>
        <w:bottom w:val="dotted" w:sz="6" w:space="1" w:color="F0A22E" w:themeColor="accent1"/>
      </w:pBdr>
      <w:spacing w:before="200" w:after="0"/>
      <w:outlineLvl w:val="5"/>
    </w:pPr>
    <w:rPr>
      <w:caps/>
      <w:color w:val="C77C0E" w:themeColor="accent1" w:themeShade="BF"/>
      <w:spacing w:val="10"/>
    </w:rPr>
  </w:style>
  <w:style w:type="paragraph" w:styleId="Heading7">
    <w:name w:val="heading 7"/>
    <w:basedOn w:val="Normal"/>
    <w:next w:val="Normal"/>
    <w:link w:val="Heading7Char"/>
    <w:uiPriority w:val="9"/>
    <w:semiHidden/>
    <w:unhideWhenUsed/>
    <w:qFormat/>
    <w:rsid w:val="00564309"/>
    <w:pPr>
      <w:spacing w:before="200" w:after="0"/>
      <w:outlineLvl w:val="6"/>
    </w:pPr>
    <w:rPr>
      <w:caps/>
      <w:color w:val="C77C0E" w:themeColor="accent1" w:themeShade="BF"/>
      <w:spacing w:val="10"/>
    </w:rPr>
  </w:style>
  <w:style w:type="paragraph" w:styleId="Heading8">
    <w:name w:val="heading 8"/>
    <w:basedOn w:val="Normal"/>
    <w:next w:val="Normal"/>
    <w:link w:val="Heading8Char"/>
    <w:uiPriority w:val="9"/>
    <w:semiHidden/>
    <w:unhideWhenUsed/>
    <w:qFormat/>
    <w:rsid w:val="0056430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6430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309"/>
    <w:pPr>
      <w:ind w:left="720"/>
      <w:contextualSpacing/>
    </w:pPr>
  </w:style>
  <w:style w:type="character" w:styleId="Hyperlink">
    <w:name w:val="Hyperlink"/>
    <w:basedOn w:val="DefaultParagraphFont"/>
    <w:uiPriority w:val="99"/>
    <w:unhideWhenUsed/>
    <w:rsid w:val="00564309"/>
    <w:rPr>
      <w:color w:val="AD1F1F" w:themeColor="hyperlink"/>
      <w:u w:val="single"/>
    </w:rPr>
  </w:style>
  <w:style w:type="character" w:customStyle="1" w:styleId="UnresolvedMention">
    <w:name w:val="Unresolved Mention"/>
    <w:basedOn w:val="DefaultParagraphFont"/>
    <w:uiPriority w:val="99"/>
    <w:semiHidden/>
    <w:unhideWhenUsed/>
    <w:rsid w:val="00564309"/>
    <w:rPr>
      <w:color w:val="605E5C"/>
      <w:shd w:val="clear" w:color="auto" w:fill="E1DFDD"/>
    </w:rPr>
  </w:style>
  <w:style w:type="paragraph" w:styleId="FootnoteText">
    <w:name w:val="footnote text"/>
    <w:basedOn w:val="Normal"/>
    <w:link w:val="FootnoteTextChar"/>
    <w:uiPriority w:val="99"/>
    <w:semiHidden/>
    <w:unhideWhenUsed/>
    <w:rsid w:val="00564309"/>
    <w:pPr>
      <w:spacing w:after="0" w:line="240" w:lineRule="auto"/>
    </w:pPr>
  </w:style>
  <w:style w:type="character" w:customStyle="1" w:styleId="FootnoteTextChar">
    <w:name w:val="Footnote Text Char"/>
    <w:basedOn w:val="DefaultParagraphFont"/>
    <w:link w:val="FootnoteText"/>
    <w:uiPriority w:val="99"/>
    <w:semiHidden/>
    <w:rsid w:val="00564309"/>
    <w:rPr>
      <w:sz w:val="20"/>
      <w:szCs w:val="20"/>
    </w:rPr>
  </w:style>
  <w:style w:type="character" w:styleId="FootnoteReference">
    <w:name w:val="footnote reference"/>
    <w:basedOn w:val="DefaultParagraphFont"/>
    <w:uiPriority w:val="99"/>
    <w:semiHidden/>
    <w:unhideWhenUsed/>
    <w:rsid w:val="00564309"/>
    <w:rPr>
      <w:vertAlign w:val="superscript"/>
    </w:rPr>
  </w:style>
  <w:style w:type="character" w:customStyle="1" w:styleId="Heading1Char">
    <w:name w:val="Heading 1 Char"/>
    <w:basedOn w:val="DefaultParagraphFont"/>
    <w:link w:val="Heading1"/>
    <w:uiPriority w:val="9"/>
    <w:rsid w:val="00564309"/>
    <w:rPr>
      <w:caps/>
      <w:color w:val="FFFFFF" w:themeColor="background1"/>
      <w:spacing w:val="15"/>
      <w:sz w:val="22"/>
      <w:szCs w:val="22"/>
      <w:shd w:val="clear" w:color="auto" w:fill="F0A22E" w:themeFill="accent1"/>
    </w:rPr>
  </w:style>
  <w:style w:type="character" w:customStyle="1" w:styleId="Heading2Char">
    <w:name w:val="Heading 2 Char"/>
    <w:basedOn w:val="DefaultParagraphFont"/>
    <w:link w:val="Heading2"/>
    <w:uiPriority w:val="9"/>
    <w:semiHidden/>
    <w:rsid w:val="00564309"/>
    <w:rPr>
      <w:caps/>
      <w:spacing w:val="15"/>
      <w:shd w:val="clear" w:color="auto" w:fill="FCECD5" w:themeFill="accent1" w:themeFillTint="33"/>
    </w:rPr>
  </w:style>
  <w:style w:type="character" w:customStyle="1" w:styleId="Heading3Char">
    <w:name w:val="Heading 3 Char"/>
    <w:basedOn w:val="DefaultParagraphFont"/>
    <w:link w:val="Heading3"/>
    <w:uiPriority w:val="9"/>
    <w:semiHidden/>
    <w:rsid w:val="00564309"/>
    <w:rPr>
      <w:caps/>
      <w:color w:val="845209" w:themeColor="accent1" w:themeShade="7F"/>
      <w:spacing w:val="15"/>
    </w:rPr>
  </w:style>
  <w:style w:type="character" w:customStyle="1" w:styleId="Heading4Char">
    <w:name w:val="Heading 4 Char"/>
    <w:basedOn w:val="DefaultParagraphFont"/>
    <w:link w:val="Heading4"/>
    <w:uiPriority w:val="9"/>
    <w:semiHidden/>
    <w:rsid w:val="00564309"/>
    <w:rPr>
      <w:caps/>
      <w:color w:val="C77C0E" w:themeColor="accent1" w:themeShade="BF"/>
      <w:spacing w:val="10"/>
    </w:rPr>
  </w:style>
  <w:style w:type="character" w:customStyle="1" w:styleId="Heading5Char">
    <w:name w:val="Heading 5 Char"/>
    <w:basedOn w:val="DefaultParagraphFont"/>
    <w:link w:val="Heading5"/>
    <w:uiPriority w:val="9"/>
    <w:semiHidden/>
    <w:rsid w:val="00564309"/>
    <w:rPr>
      <w:caps/>
      <w:color w:val="C77C0E" w:themeColor="accent1" w:themeShade="BF"/>
      <w:spacing w:val="10"/>
    </w:rPr>
  </w:style>
  <w:style w:type="character" w:customStyle="1" w:styleId="Heading6Char">
    <w:name w:val="Heading 6 Char"/>
    <w:basedOn w:val="DefaultParagraphFont"/>
    <w:link w:val="Heading6"/>
    <w:uiPriority w:val="9"/>
    <w:semiHidden/>
    <w:rsid w:val="00564309"/>
    <w:rPr>
      <w:caps/>
      <w:color w:val="C77C0E" w:themeColor="accent1" w:themeShade="BF"/>
      <w:spacing w:val="10"/>
    </w:rPr>
  </w:style>
  <w:style w:type="character" w:customStyle="1" w:styleId="Heading7Char">
    <w:name w:val="Heading 7 Char"/>
    <w:basedOn w:val="DefaultParagraphFont"/>
    <w:link w:val="Heading7"/>
    <w:uiPriority w:val="9"/>
    <w:semiHidden/>
    <w:rsid w:val="00564309"/>
    <w:rPr>
      <w:caps/>
      <w:color w:val="C77C0E" w:themeColor="accent1" w:themeShade="BF"/>
      <w:spacing w:val="10"/>
    </w:rPr>
  </w:style>
  <w:style w:type="character" w:customStyle="1" w:styleId="Heading8Char">
    <w:name w:val="Heading 8 Char"/>
    <w:basedOn w:val="DefaultParagraphFont"/>
    <w:link w:val="Heading8"/>
    <w:uiPriority w:val="9"/>
    <w:semiHidden/>
    <w:rsid w:val="00564309"/>
    <w:rPr>
      <w:caps/>
      <w:spacing w:val="10"/>
      <w:sz w:val="18"/>
      <w:szCs w:val="18"/>
    </w:rPr>
  </w:style>
  <w:style w:type="character" w:customStyle="1" w:styleId="Heading9Char">
    <w:name w:val="Heading 9 Char"/>
    <w:basedOn w:val="DefaultParagraphFont"/>
    <w:link w:val="Heading9"/>
    <w:uiPriority w:val="9"/>
    <w:semiHidden/>
    <w:rsid w:val="00564309"/>
    <w:rPr>
      <w:i/>
      <w:iCs/>
      <w:caps/>
      <w:spacing w:val="10"/>
      <w:sz w:val="18"/>
      <w:szCs w:val="18"/>
    </w:rPr>
  </w:style>
  <w:style w:type="paragraph" w:styleId="Caption">
    <w:name w:val="caption"/>
    <w:basedOn w:val="Normal"/>
    <w:next w:val="Normal"/>
    <w:uiPriority w:val="35"/>
    <w:semiHidden/>
    <w:unhideWhenUsed/>
    <w:qFormat/>
    <w:rsid w:val="00564309"/>
    <w:rPr>
      <w:b/>
      <w:bCs/>
      <w:color w:val="C77C0E" w:themeColor="accent1" w:themeShade="BF"/>
      <w:sz w:val="16"/>
      <w:szCs w:val="16"/>
    </w:rPr>
  </w:style>
  <w:style w:type="paragraph" w:styleId="Title">
    <w:name w:val="Title"/>
    <w:basedOn w:val="Normal"/>
    <w:next w:val="Normal"/>
    <w:link w:val="TitleChar"/>
    <w:uiPriority w:val="10"/>
    <w:qFormat/>
    <w:rsid w:val="00564309"/>
    <w:pPr>
      <w:spacing w:before="0" w:after="0"/>
    </w:pPr>
    <w:rPr>
      <w:rFonts w:asciiTheme="majorHAnsi" w:eastAsiaTheme="majorEastAsia" w:hAnsiTheme="majorHAnsi" w:cstheme="majorBidi"/>
      <w:caps/>
      <w:color w:val="F0A22E" w:themeColor="accent1"/>
      <w:spacing w:val="10"/>
      <w:sz w:val="52"/>
      <w:szCs w:val="52"/>
    </w:rPr>
  </w:style>
  <w:style w:type="character" w:customStyle="1" w:styleId="TitleChar">
    <w:name w:val="Title Char"/>
    <w:basedOn w:val="DefaultParagraphFont"/>
    <w:link w:val="Title"/>
    <w:uiPriority w:val="10"/>
    <w:rsid w:val="00564309"/>
    <w:rPr>
      <w:rFonts w:asciiTheme="majorHAnsi" w:eastAsiaTheme="majorEastAsia" w:hAnsiTheme="majorHAnsi" w:cstheme="majorBidi"/>
      <w:caps/>
      <w:color w:val="F0A22E" w:themeColor="accent1"/>
      <w:spacing w:val="10"/>
      <w:sz w:val="52"/>
      <w:szCs w:val="52"/>
    </w:rPr>
  </w:style>
  <w:style w:type="paragraph" w:styleId="Subtitle">
    <w:name w:val="Subtitle"/>
    <w:basedOn w:val="Normal"/>
    <w:next w:val="Normal"/>
    <w:link w:val="SubtitleChar"/>
    <w:uiPriority w:val="11"/>
    <w:qFormat/>
    <w:rsid w:val="00564309"/>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64309"/>
    <w:rPr>
      <w:caps/>
      <w:color w:val="595959" w:themeColor="text1" w:themeTint="A6"/>
      <w:spacing w:val="10"/>
      <w:sz w:val="21"/>
      <w:szCs w:val="21"/>
    </w:rPr>
  </w:style>
  <w:style w:type="character" w:styleId="Strong">
    <w:name w:val="Strong"/>
    <w:uiPriority w:val="22"/>
    <w:qFormat/>
    <w:rsid w:val="00564309"/>
    <w:rPr>
      <w:b/>
      <w:bCs/>
    </w:rPr>
  </w:style>
  <w:style w:type="character" w:styleId="Emphasis">
    <w:name w:val="Emphasis"/>
    <w:uiPriority w:val="20"/>
    <w:qFormat/>
    <w:rsid w:val="00564309"/>
    <w:rPr>
      <w:caps/>
      <w:color w:val="845209" w:themeColor="accent1" w:themeShade="7F"/>
      <w:spacing w:val="5"/>
    </w:rPr>
  </w:style>
  <w:style w:type="paragraph" w:styleId="NoSpacing">
    <w:name w:val="No Spacing"/>
    <w:uiPriority w:val="1"/>
    <w:qFormat/>
    <w:rsid w:val="00564309"/>
    <w:pPr>
      <w:spacing w:after="0" w:line="240" w:lineRule="auto"/>
    </w:pPr>
  </w:style>
  <w:style w:type="paragraph" w:styleId="Quote">
    <w:name w:val="Quote"/>
    <w:basedOn w:val="Normal"/>
    <w:next w:val="Normal"/>
    <w:link w:val="QuoteChar"/>
    <w:uiPriority w:val="29"/>
    <w:qFormat/>
    <w:rsid w:val="00564309"/>
    <w:rPr>
      <w:i/>
      <w:iCs/>
      <w:sz w:val="24"/>
      <w:szCs w:val="24"/>
    </w:rPr>
  </w:style>
  <w:style w:type="character" w:customStyle="1" w:styleId="QuoteChar">
    <w:name w:val="Quote Char"/>
    <w:basedOn w:val="DefaultParagraphFont"/>
    <w:link w:val="Quote"/>
    <w:uiPriority w:val="29"/>
    <w:rsid w:val="00564309"/>
    <w:rPr>
      <w:i/>
      <w:iCs/>
      <w:sz w:val="24"/>
      <w:szCs w:val="24"/>
    </w:rPr>
  </w:style>
  <w:style w:type="paragraph" w:styleId="IntenseQuote">
    <w:name w:val="Intense Quote"/>
    <w:basedOn w:val="Normal"/>
    <w:next w:val="Normal"/>
    <w:link w:val="IntenseQuoteChar"/>
    <w:uiPriority w:val="30"/>
    <w:qFormat/>
    <w:rsid w:val="00564309"/>
    <w:pPr>
      <w:spacing w:before="240" w:after="240" w:line="240" w:lineRule="auto"/>
      <w:ind w:left="1080" w:right="1080"/>
      <w:jc w:val="center"/>
    </w:pPr>
    <w:rPr>
      <w:color w:val="F0A22E" w:themeColor="accent1"/>
      <w:sz w:val="24"/>
      <w:szCs w:val="24"/>
    </w:rPr>
  </w:style>
  <w:style w:type="character" w:customStyle="1" w:styleId="IntenseQuoteChar">
    <w:name w:val="Intense Quote Char"/>
    <w:basedOn w:val="DefaultParagraphFont"/>
    <w:link w:val="IntenseQuote"/>
    <w:uiPriority w:val="30"/>
    <w:rsid w:val="00564309"/>
    <w:rPr>
      <w:color w:val="F0A22E" w:themeColor="accent1"/>
      <w:sz w:val="24"/>
      <w:szCs w:val="24"/>
    </w:rPr>
  </w:style>
  <w:style w:type="character" w:styleId="SubtleEmphasis">
    <w:name w:val="Subtle Emphasis"/>
    <w:uiPriority w:val="19"/>
    <w:qFormat/>
    <w:rsid w:val="00564309"/>
    <w:rPr>
      <w:i/>
      <w:iCs/>
      <w:color w:val="845209" w:themeColor="accent1" w:themeShade="7F"/>
    </w:rPr>
  </w:style>
  <w:style w:type="character" w:styleId="IntenseEmphasis">
    <w:name w:val="Intense Emphasis"/>
    <w:uiPriority w:val="21"/>
    <w:qFormat/>
    <w:rsid w:val="00564309"/>
    <w:rPr>
      <w:b/>
      <w:bCs/>
      <w:caps/>
      <w:color w:val="845209" w:themeColor="accent1" w:themeShade="7F"/>
      <w:spacing w:val="10"/>
    </w:rPr>
  </w:style>
  <w:style w:type="character" w:styleId="SubtleReference">
    <w:name w:val="Subtle Reference"/>
    <w:uiPriority w:val="31"/>
    <w:qFormat/>
    <w:rsid w:val="00564309"/>
    <w:rPr>
      <w:b/>
      <w:bCs/>
      <w:color w:val="F0A22E" w:themeColor="accent1"/>
    </w:rPr>
  </w:style>
  <w:style w:type="character" w:styleId="IntenseReference">
    <w:name w:val="Intense Reference"/>
    <w:uiPriority w:val="32"/>
    <w:qFormat/>
    <w:rsid w:val="00564309"/>
    <w:rPr>
      <w:b/>
      <w:bCs/>
      <w:i/>
      <w:iCs/>
      <w:caps/>
      <w:color w:val="F0A22E" w:themeColor="accent1"/>
    </w:rPr>
  </w:style>
  <w:style w:type="character" w:styleId="BookTitle">
    <w:name w:val="Book Title"/>
    <w:uiPriority w:val="33"/>
    <w:qFormat/>
    <w:rsid w:val="00564309"/>
    <w:rPr>
      <w:b/>
      <w:bCs/>
      <w:i/>
      <w:iCs/>
      <w:spacing w:val="0"/>
    </w:rPr>
  </w:style>
  <w:style w:type="paragraph" w:styleId="TOCHeading">
    <w:name w:val="TOC Heading"/>
    <w:basedOn w:val="Heading1"/>
    <w:next w:val="Normal"/>
    <w:uiPriority w:val="39"/>
    <w:semiHidden/>
    <w:unhideWhenUsed/>
    <w:qFormat/>
    <w:rsid w:val="00564309"/>
    <w:pPr>
      <w:outlineLvl w:val="9"/>
    </w:pPr>
  </w:style>
  <w:style w:type="paragraph" w:styleId="Header">
    <w:name w:val="header"/>
    <w:basedOn w:val="Normal"/>
    <w:link w:val="HeaderChar"/>
    <w:uiPriority w:val="99"/>
    <w:unhideWhenUsed/>
    <w:rsid w:val="00142EB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42EBD"/>
  </w:style>
  <w:style w:type="paragraph" w:styleId="Footer">
    <w:name w:val="footer"/>
    <w:basedOn w:val="Normal"/>
    <w:link w:val="FooterChar"/>
    <w:uiPriority w:val="99"/>
    <w:unhideWhenUsed/>
    <w:rsid w:val="00142EB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42EBD"/>
  </w:style>
  <w:style w:type="paragraph" w:styleId="BalloonText">
    <w:name w:val="Balloon Text"/>
    <w:basedOn w:val="Normal"/>
    <w:link w:val="BalloonTextChar"/>
    <w:uiPriority w:val="99"/>
    <w:semiHidden/>
    <w:unhideWhenUsed/>
    <w:rsid w:val="00F9310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0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09"/>
  </w:style>
  <w:style w:type="paragraph" w:styleId="Heading1">
    <w:name w:val="heading 1"/>
    <w:basedOn w:val="Normal"/>
    <w:next w:val="Normal"/>
    <w:link w:val="Heading1Char"/>
    <w:uiPriority w:val="9"/>
    <w:qFormat/>
    <w:rsid w:val="00564309"/>
    <w:pPr>
      <w:pBdr>
        <w:top w:val="single" w:sz="24" w:space="0" w:color="F0A22E" w:themeColor="accent1"/>
        <w:left w:val="single" w:sz="24" w:space="0" w:color="F0A22E" w:themeColor="accent1"/>
        <w:bottom w:val="single" w:sz="24" w:space="0" w:color="F0A22E" w:themeColor="accent1"/>
        <w:right w:val="single" w:sz="24" w:space="0" w:color="F0A22E" w:themeColor="accent1"/>
      </w:pBdr>
      <w:shd w:val="clear" w:color="auto" w:fill="F0A22E"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564309"/>
    <w:pPr>
      <w:pBdr>
        <w:top w:val="single" w:sz="24" w:space="0" w:color="FCECD5" w:themeColor="accent1" w:themeTint="33"/>
        <w:left w:val="single" w:sz="24" w:space="0" w:color="FCECD5" w:themeColor="accent1" w:themeTint="33"/>
        <w:bottom w:val="single" w:sz="24" w:space="0" w:color="FCECD5" w:themeColor="accent1" w:themeTint="33"/>
        <w:right w:val="single" w:sz="24" w:space="0" w:color="FCECD5" w:themeColor="accent1" w:themeTint="33"/>
      </w:pBdr>
      <w:shd w:val="clear" w:color="auto" w:fill="FCECD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564309"/>
    <w:pPr>
      <w:pBdr>
        <w:top w:val="single" w:sz="6" w:space="2" w:color="F0A22E" w:themeColor="accent1"/>
      </w:pBdr>
      <w:spacing w:before="300" w:after="0"/>
      <w:outlineLvl w:val="2"/>
    </w:pPr>
    <w:rPr>
      <w:caps/>
      <w:color w:val="845209" w:themeColor="accent1" w:themeShade="7F"/>
      <w:spacing w:val="15"/>
    </w:rPr>
  </w:style>
  <w:style w:type="paragraph" w:styleId="Heading4">
    <w:name w:val="heading 4"/>
    <w:basedOn w:val="Normal"/>
    <w:next w:val="Normal"/>
    <w:link w:val="Heading4Char"/>
    <w:uiPriority w:val="9"/>
    <w:semiHidden/>
    <w:unhideWhenUsed/>
    <w:qFormat/>
    <w:rsid w:val="00564309"/>
    <w:pPr>
      <w:pBdr>
        <w:top w:val="dotted" w:sz="6" w:space="2" w:color="F0A22E" w:themeColor="accent1"/>
      </w:pBdr>
      <w:spacing w:before="200" w:after="0"/>
      <w:outlineLvl w:val="3"/>
    </w:pPr>
    <w:rPr>
      <w:caps/>
      <w:color w:val="C77C0E" w:themeColor="accent1" w:themeShade="BF"/>
      <w:spacing w:val="10"/>
    </w:rPr>
  </w:style>
  <w:style w:type="paragraph" w:styleId="Heading5">
    <w:name w:val="heading 5"/>
    <w:basedOn w:val="Normal"/>
    <w:next w:val="Normal"/>
    <w:link w:val="Heading5Char"/>
    <w:uiPriority w:val="9"/>
    <w:semiHidden/>
    <w:unhideWhenUsed/>
    <w:qFormat/>
    <w:rsid w:val="00564309"/>
    <w:pPr>
      <w:pBdr>
        <w:bottom w:val="single" w:sz="6" w:space="1" w:color="F0A22E" w:themeColor="accent1"/>
      </w:pBdr>
      <w:spacing w:before="200" w:after="0"/>
      <w:outlineLvl w:val="4"/>
    </w:pPr>
    <w:rPr>
      <w:caps/>
      <w:color w:val="C77C0E" w:themeColor="accent1" w:themeShade="BF"/>
      <w:spacing w:val="10"/>
    </w:rPr>
  </w:style>
  <w:style w:type="paragraph" w:styleId="Heading6">
    <w:name w:val="heading 6"/>
    <w:basedOn w:val="Normal"/>
    <w:next w:val="Normal"/>
    <w:link w:val="Heading6Char"/>
    <w:uiPriority w:val="9"/>
    <w:semiHidden/>
    <w:unhideWhenUsed/>
    <w:qFormat/>
    <w:rsid w:val="00564309"/>
    <w:pPr>
      <w:pBdr>
        <w:bottom w:val="dotted" w:sz="6" w:space="1" w:color="F0A22E" w:themeColor="accent1"/>
      </w:pBdr>
      <w:spacing w:before="200" w:after="0"/>
      <w:outlineLvl w:val="5"/>
    </w:pPr>
    <w:rPr>
      <w:caps/>
      <w:color w:val="C77C0E" w:themeColor="accent1" w:themeShade="BF"/>
      <w:spacing w:val="10"/>
    </w:rPr>
  </w:style>
  <w:style w:type="paragraph" w:styleId="Heading7">
    <w:name w:val="heading 7"/>
    <w:basedOn w:val="Normal"/>
    <w:next w:val="Normal"/>
    <w:link w:val="Heading7Char"/>
    <w:uiPriority w:val="9"/>
    <w:semiHidden/>
    <w:unhideWhenUsed/>
    <w:qFormat/>
    <w:rsid w:val="00564309"/>
    <w:pPr>
      <w:spacing w:before="200" w:after="0"/>
      <w:outlineLvl w:val="6"/>
    </w:pPr>
    <w:rPr>
      <w:caps/>
      <w:color w:val="C77C0E" w:themeColor="accent1" w:themeShade="BF"/>
      <w:spacing w:val="10"/>
    </w:rPr>
  </w:style>
  <w:style w:type="paragraph" w:styleId="Heading8">
    <w:name w:val="heading 8"/>
    <w:basedOn w:val="Normal"/>
    <w:next w:val="Normal"/>
    <w:link w:val="Heading8Char"/>
    <w:uiPriority w:val="9"/>
    <w:semiHidden/>
    <w:unhideWhenUsed/>
    <w:qFormat/>
    <w:rsid w:val="0056430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6430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309"/>
    <w:pPr>
      <w:ind w:left="720"/>
      <w:contextualSpacing/>
    </w:pPr>
  </w:style>
  <w:style w:type="character" w:styleId="Hyperlink">
    <w:name w:val="Hyperlink"/>
    <w:basedOn w:val="DefaultParagraphFont"/>
    <w:uiPriority w:val="99"/>
    <w:unhideWhenUsed/>
    <w:rsid w:val="00564309"/>
    <w:rPr>
      <w:color w:val="AD1F1F" w:themeColor="hyperlink"/>
      <w:u w:val="single"/>
    </w:rPr>
  </w:style>
  <w:style w:type="character" w:customStyle="1" w:styleId="UnresolvedMention">
    <w:name w:val="Unresolved Mention"/>
    <w:basedOn w:val="DefaultParagraphFont"/>
    <w:uiPriority w:val="99"/>
    <w:semiHidden/>
    <w:unhideWhenUsed/>
    <w:rsid w:val="00564309"/>
    <w:rPr>
      <w:color w:val="605E5C"/>
      <w:shd w:val="clear" w:color="auto" w:fill="E1DFDD"/>
    </w:rPr>
  </w:style>
  <w:style w:type="paragraph" w:styleId="FootnoteText">
    <w:name w:val="footnote text"/>
    <w:basedOn w:val="Normal"/>
    <w:link w:val="FootnoteTextChar"/>
    <w:uiPriority w:val="99"/>
    <w:semiHidden/>
    <w:unhideWhenUsed/>
    <w:rsid w:val="00564309"/>
    <w:pPr>
      <w:spacing w:after="0" w:line="240" w:lineRule="auto"/>
    </w:pPr>
  </w:style>
  <w:style w:type="character" w:customStyle="1" w:styleId="FootnoteTextChar">
    <w:name w:val="Footnote Text Char"/>
    <w:basedOn w:val="DefaultParagraphFont"/>
    <w:link w:val="FootnoteText"/>
    <w:uiPriority w:val="99"/>
    <w:semiHidden/>
    <w:rsid w:val="00564309"/>
    <w:rPr>
      <w:sz w:val="20"/>
      <w:szCs w:val="20"/>
    </w:rPr>
  </w:style>
  <w:style w:type="character" w:styleId="FootnoteReference">
    <w:name w:val="footnote reference"/>
    <w:basedOn w:val="DefaultParagraphFont"/>
    <w:uiPriority w:val="99"/>
    <w:semiHidden/>
    <w:unhideWhenUsed/>
    <w:rsid w:val="00564309"/>
    <w:rPr>
      <w:vertAlign w:val="superscript"/>
    </w:rPr>
  </w:style>
  <w:style w:type="character" w:customStyle="1" w:styleId="Heading1Char">
    <w:name w:val="Heading 1 Char"/>
    <w:basedOn w:val="DefaultParagraphFont"/>
    <w:link w:val="Heading1"/>
    <w:uiPriority w:val="9"/>
    <w:rsid w:val="00564309"/>
    <w:rPr>
      <w:caps/>
      <w:color w:val="FFFFFF" w:themeColor="background1"/>
      <w:spacing w:val="15"/>
      <w:sz w:val="22"/>
      <w:szCs w:val="22"/>
      <w:shd w:val="clear" w:color="auto" w:fill="F0A22E" w:themeFill="accent1"/>
    </w:rPr>
  </w:style>
  <w:style w:type="character" w:customStyle="1" w:styleId="Heading2Char">
    <w:name w:val="Heading 2 Char"/>
    <w:basedOn w:val="DefaultParagraphFont"/>
    <w:link w:val="Heading2"/>
    <w:uiPriority w:val="9"/>
    <w:semiHidden/>
    <w:rsid w:val="00564309"/>
    <w:rPr>
      <w:caps/>
      <w:spacing w:val="15"/>
      <w:shd w:val="clear" w:color="auto" w:fill="FCECD5" w:themeFill="accent1" w:themeFillTint="33"/>
    </w:rPr>
  </w:style>
  <w:style w:type="character" w:customStyle="1" w:styleId="Heading3Char">
    <w:name w:val="Heading 3 Char"/>
    <w:basedOn w:val="DefaultParagraphFont"/>
    <w:link w:val="Heading3"/>
    <w:uiPriority w:val="9"/>
    <w:semiHidden/>
    <w:rsid w:val="00564309"/>
    <w:rPr>
      <w:caps/>
      <w:color w:val="845209" w:themeColor="accent1" w:themeShade="7F"/>
      <w:spacing w:val="15"/>
    </w:rPr>
  </w:style>
  <w:style w:type="character" w:customStyle="1" w:styleId="Heading4Char">
    <w:name w:val="Heading 4 Char"/>
    <w:basedOn w:val="DefaultParagraphFont"/>
    <w:link w:val="Heading4"/>
    <w:uiPriority w:val="9"/>
    <w:semiHidden/>
    <w:rsid w:val="00564309"/>
    <w:rPr>
      <w:caps/>
      <w:color w:val="C77C0E" w:themeColor="accent1" w:themeShade="BF"/>
      <w:spacing w:val="10"/>
    </w:rPr>
  </w:style>
  <w:style w:type="character" w:customStyle="1" w:styleId="Heading5Char">
    <w:name w:val="Heading 5 Char"/>
    <w:basedOn w:val="DefaultParagraphFont"/>
    <w:link w:val="Heading5"/>
    <w:uiPriority w:val="9"/>
    <w:semiHidden/>
    <w:rsid w:val="00564309"/>
    <w:rPr>
      <w:caps/>
      <w:color w:val="C77C0E" w:themeColor="accent1" w:themeShade="BF"/>
      <w:spacing w:val="10"/>
    </w:rPr>
  </w:style>
  <w:style w:type="character" w:customStyle="1" w:styleId="Heading6Char">
    <w:name w:val="Heading 6 Char"/>
    <w:basedOn w:val="DefaultParagraphFont"/>
    <w:link w:val="Heading6"/>
    <w:uiPriority w:val="9"/>
    <w:semiHidden/>
    <w:rsid w:val="00564309"/>
    <w:rPr>
      <w:caps/>
      <w:color w:val="C77C0E" w:themeColor="accent1" w:themeShade="BF"/>
      <w:spacing w:val="10"/>
    </w:rPr>
  </w:style>
  <w:style w:type="character" w:customStyle="1" w:styleId="Heading7Char">
    <w:name w:val="Heading 7 Char"/>
    <w:basedOn w:val="DefaultParagraphFont"/>
    <w:link w:val="Heading7"/>
    <w:uiPriority w:val="9"/>
    <w:semiHidden/>
    <w:rsid w:val="00564309"/>
    <w:rPr>
      <w:caps/>
      <w:color w:val="C77C0E" w:themeColor="accent1" w:themeShade="BF"/>
      <w:spacing w:val="10"/>
    </w:rPr>
  </w:style>
  <w:style w:type="character" w:customStyle="1" w:styleId="Heading8Char">
    <w:name w:val="Heading 8 Char"/>
    <w:basedOn w:val="DefaultParagraphFont"/>
    <w:link w:val="Heading8"/>
    <w:uiPriority w:val="9"/>
    <w:semiHidden/>
    <w:rsid w:val="00564309"/>
    <w:rPr>
      <w:caps/>
      <w:spacing w:val="10"/>
      <w:sz w:val="18"/>
      <w:szCs w:val="18"/>
    </w:rPr>
  </w:style>
  <w:style w:type="character" w:customStyle="1" w:styleId="Heading9Char">
    <w:name w:val="Heading 9 Char"/>
    <w:basedOn w:val="DefaultParagraphFont"/>
    <w:link w:val="Heading9"/>
    <w:uiPriority w:val="9"/>
    <w:semiHidden/>
    <w:rsid w:val="00564309"/>
    <w:rPr>
      <w:i/>
      <w:iCs/>
      <w:caps/>
      <w:spacing w:val="10"/>
      <w:sz w:val="18"/>
      <w:szCs w:val="18"/>
    </w:rPr>
  </w:style>
  <w:style w:type="paragraph" w:styleId="Caption">
    <w:name w:val="caption"/>
    <w:basedOn w:val="Normal"/>
    <w:next w:val="Normal"/>
    <w:uiPriority w:val="35"/>
    <w:semiHidden/>
    <w:unhideWhenUsed/>
    <w:qFormat/>
    <w:rsid w:val="00564309"/>
    <w:rPr>
      <w:b/>
      <w:bCs/>
      <w:color w:val="C77C0E" w:themeColor="accent1" w:themeShade="BF"/>
      <w:sz w:val="16"/>
      <w:szCs w:val="16"/>
    </w:rPr>
  </w:style>
  <w:style w:type="paragraph" w:styleId="Title">
    <w:name w:val="Title"/>
    <w:basedOn w:val="Normal"/>
    <w:next w:val="Normal"/>
    <w:link w:val="TitleChar"/>
    <w:uiPriority w:val="10"/>
    <w:qFormat/>
    <w:rsid w:val="00564309"/>
    <w:pPr>
      <w:spacing w:before="0" w:after="0"/>
    </w:pPr>
    <w:rPr>
      <w:rFonts w:asciiTheme="majorHAnsi" w:eastAsiaTheme="majorEastAsia" w:hAnsiTheme="majorHAnsi" w:cstheme="majorBidi"/>
      <w:caps/>
      <w:color w:val="F0A22E" w:themeColor="accent1"/>
      <w:spacing w:val="10"/>
      <w:sz w:val="52"/>
      <w:szCs w:val="52"/>
    </w:rPr>
  </w:style>
  <w:style w:type="character" w:customStyle="1" w:styleId="TitleChar">
    <w:name w:val="Title Char"/>
    <w:basedOn w:val="DefaultParagraphFont"/>
    <w:link w:val="Title"/>
    <w:uiPriority w:val="10"/>
    <w:rsid w:val="00564309"/>
    <w:rPr>
      <w:rFonts w:asciiTheme="majorHAnsi" w:eastAsiaTheme="majorEastAsia" w:hAnsiTheme="majorHAnsi" w:cstheme="majorBidi"/>
      <w:caps/>
      <w:color w:val="F0A22E" w:themeColor="accent1"/>
      <w:spacing w:val="10"/>
      <w:sz w:val="52"/>
      <w:szCs w:val="52"/>
    </w:rPr>
  </w:style>
  <w:style w:type="paragraph" w:styleId="Subtitle">
    <w:name w:val="Subtitle"/>
    <w:basedOn w:val="Normal"/>
    <w:next w:val="Normal"/>
    <w:link w:val="SubtitleChar"/>
    <w:uiPriority w:val="11"/>
    <w:qFormat/>
    <w:rsid w:val="00564309"/>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64309"/>
    <w:rPr>
      <w:caps/>
      <w:color w:val="595959" w:themeColor="text1" w:themeTint="A6"/>
      <w:spacing w:val="10"/>
      <w:sz w:val="21"/>
      <w:szCs w:val="21"/>
    </w:rPr>
  </w:style>
  <w:style w:type="character" w:styleId="Strong">
    <w:name w:val="Strong"/>
    <w:uiPriority w:val="22"/>
    <w:qFormat/>
    <w:rsid w:val="00564309"/>
    <w:rPr>
      <w:b/>
      <w:bCs/>
    </w:rPr>
  </w:style>
  <w:style w:type="character" w:styleId="Emphasis">
    <w:name w:val="Emphasis"/>
    <w:uiPriority w:val="20"/>
    <w:qFormat/>
    <w:rsid w:val="00564309"/>
    <w:rPr>
      <w:caps/>
      <w:color w:val="845209" w:themeColor="accent1" w:themeShade="7F"/>
      <w:spacing w:val="5"/>
    </w:rPr>
  </w:style>
  <w:style w:type="paragraph" w:styleId="NoSpacing">
    <w:name w:val="No Spacing"/>
    <w:uiPriority w:val="1"/>
    <w:qFormat/>
    <w:rsid w:val="00564309"/>
    <w:pPr>
      <w:spacing w:after="0" w:line="240" w:lineRule="auto"/>
    </w:pPr>
  </w:style>
  <w:style w:type="paragraph" w:styleId="Quote">
    <w:name w:val="Quote"/>
    <w:basedOn w:val="Normal"/>
    <w:next w:val="Normal"/>
    <w:link w:val="QuoteChar"/>
    <w:uiPriority w:val="29"/>
    <w:qFormat/>
    <w:rsid w:val="00564309"/>
    <w:rPr>
      <w:i/>
      <w:iCs/>
      <w:sz w:val="24"/>
      <w:szCs w:val="24"/>
    </w:rPr>
  </w:style>
  <w:style w:type="character" w:customStyle="1" w:styleId="QuoteChar">
    <w:name w:val="Quote Char"/>
    <w:basedOn w:val="DefaultParagraphFont"/>
    <w:link w:val="Quote"/>
    <w:uiPriority w:val="29"/>
    <w:rsid w:val="00564309"/>
    <w:rPr>
      <w:i/>
      <w:iCs/>
      <w:sz w:val="24"/>
      <w:szCs w:val="24"/>
    </w:rPr>
  </w:style>
  <w:style w:type="paragraph" w:styleId="IntenseQuote">
    <w:name w:val="Intense Quote"/>
    <w:basedOn w:val="Normal"/>
    <w:next w:val="Normal"/>
    <w:link w:val="IntenseQuoteChar"/>
    <w:uiPriority w:val="30"/>
    <w:qFormat/>
    <w:rsid w:val="00564309"/>
    <w:pPr>
      <w:spacing w:before="240" w:after="240" w:line="240" w:lineRule="auto"/>
      <w:ind w:left="1080" w:right="1080"/>
      <w:jc w:val="center"/>
    </w:pPr>
    <w:rPr>
      <w:color w:val="F0A22E" w:themeColor="accent1"/>
      <w:sz w:val="24"/>
      <w:szCs w:val="24"/>
    </w:rPr>
  </w:style>
  <w:style w:type="character" w:customStyle="1" w:styleId="IntenseQuoteChar">
    <w:name w:val="Intense Quote Char"/>
    <w:basedOn w:val="DefaultParagraphFont"/>
    <w:link w:val="IntenseQuote"/>
    <w:uiPriority w:val="30"/>
    <w:rsid w:val="00564309"/>
    <w:rPr>
      <w:color w:val="F0A22E" w:themeColor="accent1"/>
      <w:sz w:val="24"/>
      <w:szCs w:val="24"/>
    </w:rPr>
  </w:style>
  <w:style w:type="character" w:styleId="SubtleEmphasis">
    <w:name w:val="Subtle Emphasis"/>
    <w:uiPriority w:val="19"/>
    <w:qFormat/>
    <w:rsid w:val="00564309"/>
    <w:rPr>
      <w:i/>
      <w:iCs/>
      <w:color w:val="845209" w:themeColor="accent1" w:themeShade="7F"/>
    </w:rPr>
  </w:style>
  <w:style w:type="character" w:styleId="IntenseEmphasis">
    <w:name w:val="Intense Emphasis"/>
    <w:uiPriority w:val="21"/>
    <w:qFormat/>
    <w:rsid w:val="00564309"/>
    <w:rPr>
      <w:b/>
      <w:bCs/>
      <w:caps/>
      <w:color w:val="845209" w:themeColor="accent1" w:themeShade="7F"/>
      <w:spacing w:val="10"/>
    </w:rPr>
  </w:style>
  <w:style w:type="character" w:styleId="SubtleReference">
    <w:name w:val="Subtle Reference"/>
    <w:uiPriority w:val="31"/>
    <w:qFormat/>
    <w:rsid w:val="00564309"/>
    <w:rPr>
      <w:b/>
      <w:bCs/>
      <w:color w:val="F0A22E" w:themeColor="accent1"/>
    </w:rPr>
  </w:style>
  <w:style w:type="character" w:styleId="IntenseReference">
    <w:name w:val="Intense Reference"/>
    <w:uiPriority w:val="32"/>
    <w:qFormat/>
    <w:rsid w:val="00564309"/>
    <w:rPr>
      <w:b/>
      <w:bCs/>
      <w:i/>
      <w:iCs/>
      <w:caps/>
      <w:color w:val="F0A22E" w:themeColor="accent1"/>
    </w:rPr>
  </w:style>
  <w:style w:type="character" w:styleId="BookTitle">
    <w:name w:val="Book Title"/>
    <w:uiPriority w:val="33"/>
    <w:qFormat/>
    <w:rsid w:val="00564309"/>
    <w:rPr>
      <w:b/>
      <w:bCs/>
      <w:i/>
      <w:iCs/>
      <w:spacing w:val="0"/>
    </w:rPr>
  </w:style>
  <w:style w:type="paragraph" w:styleId="TOCHeading">
    <w:name w:val="TOC Heading"/>
    <w:basedOn w:val="Heading1"/>
    <w:next w:val="Normal"/>
    <w:uiPriority w:val="39"/>
    <w:semiHidden/>
    <w:unhideWhenUsed/>
    <w:qFormat/>
    <w:rsid w:val="00564309"/>
    <w:pPr>
      <w:outlineLvl w:val="9"/>
    </w:pPr>
  </w:style>
  <w:style w:type="paragraph" w:styleId="Header">
    <w:name w:val="header"/>
    <w:basedOn w:val="Normal"/>
    <w:link w:val="HeaderChar"/>
    <w:uiPriority w:val="99"/>
    <w:unhideWhenUsed/>
    <w:rsid w:val="00142EB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42EBD"/>
  </w:style>
  <w:style w:type="paragraph" w:styleId="Footer">
    <w:name w:val="footer"/>
    <w:basedOn w:val="Normal"/>
    <w:link w:val="FooterChar"/>
    <w:uiPriority w:val="99"/>
    <w:unhideWhenUsed/>
    <w:rsid w:val="00142EB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42EBD"/>
  </w:style>
  <w:style w:type="paragraph" w:styleId="BalloonText">
    <w:name w:val="Balloon Text"/>
    <w:basedOn w:val="Normal"/>
    <w:link w:val="BalloonTextChar"/>
    <w:uiPriority w:val="99"/>
    <w:semiHidden/>
    <w:unhideWhenUsed/>
    <w:rsid w:val="00F9310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600514">
      <w:bodyDiv w:val="1"/>
      <w:marLeft w:val="0"/>
      <w:marRight w:val="0"/>
      <w:marTop w:val="0"/>
      <w:marBottom w:val="0"/>
      <w:divBdr>
        <w:top w:val="none" w:sz="0" w:space="0" w:color="auto"/>
        <w:left w:val="none" w:sz="0" w:space="0" w:color="auto"/>
        <w:bottom w:val="none" w:sz="0" w:space="0" w:color="auto"/>
        <w:right w:val="none" w:sz="0" w:space="0" w:color="auto"/>
      </w:divBdr>
    </w:div>
    <w:div w:id="557325742">
      <w:bodyDiv w:val="1"/>
      <w:marLeft w:val="0"/>
      <w:marRight w:val="0"/>
      <w:marTop w:val="0"/>
      <w:marBottom w:val="0"/>
      <w:divBdr>
        <w:top w:val="none" w:sz="0" w:space="0" w:color="auto"/>
        <w:left w:val="none" w:sz="0" w:space="0" w:color="auto"/>
        <w:bottom w:val="none" w:sz="0" w:space="0" w:color="auto"/>
        <w:right w:val="none" w:sz="0" w:space="0" w:color="auto"/>
      </w:divBdr>
    </w:div>
    <w:div w:id="621034873">
      <w:bodyDiv w:val="1"/>
      <w:marLeft w:val="0"/>
      <w:marRight w:val="0"/>
      <w:marTop w:val="0"/>
      <w:marBottom w:val="0"/>
      <w:divBdr>
        <w:top w:val="none" w:sz="0" w:space="0" w:color="auto"/>
        <w:left w:val="none" w:sz="0" w:space="0" w:color="auto"/>
        <w:bottom w:val="none" w:sz="0" w:space="0" w:color="auto"/>
        <w:right w:val="none" w:sz="0" w:space="0" w:color="auto"/>
      </w:divBdr>
    </w:div>
    <w:div w:id="1153790833">
      <w:bodyDiv w:val="1"/>
      <w:marLeft w:val="0"/>
      <w:marRight w:val="0"/>
      <w:marTop w:val="0"/>
      <w:marBottom w:val="0"/>
      <w:divBdr>
        <w:top w:val="none" w:sz="0" w:space="0" w:color="auto"/>
        <w:left w:val="none" w:sz="0" w:space="0" w:color="auto"/>
        <w:bottom w:val="none" w:sz="0" w:space="0" w:color="auto"/>
        <w:right w:val="none" w:sz="0" w:space="0" w:color="auto"/>
      </w:divBdr>
    </w:div>
    <w:div w:id="1783499968">
      <w:bodyDiv w:val="1"/>
      <w:marLeft w:val="0"/>
      <w:marRight w:val="0"/>
      <w:marTop w:val="0"/>
      <w:marBottom w:val="0"/>
      <w:divBdr>
        <w:top w:val="none" w:sz="0" w:space="0" w:color="auto"/>
        <w:left w:val="none" w:sz="0" w:space="0" w:color="auto"/>
        <w:bottom w:val="none" w:sz="0" w:space="0" w:color="auto"/>
        <w:right w:val="none" w:sz="0" w:space="0" w:color="auto"/>
      </w:divBdr>
    </w:div>
    <w:div w:id="191870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B717C-75C2-4E8F-86DA-A06F62A13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David</dc:creator>
  <cp:lastModifiedBy>Gurvynda Paddan-White</cp:lastModifiedBy>
  <cp:revision>12</cp:revision>
  <cp:lastPrinted>2019-04-12T08:55:00Z</cp:lastPrinted>
  <dcterms:created xsi:type="dcterms:W3CDTF">2019-04-10T11:21:00Z</dcterms:created>
  <dcterms:modified xsi:type="dcterms:W3CDTF">2019-04-12T08:57:00Z</dcterms:modified>
</cp:coreProperties>
</file>